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1DF4" w14:textId="77777777" w:rsidR="00E701E0" w:rsidRDefault="003037AA">
      <w:pPr>
        <w:pStyle w:val="BodyText"/>
        <w:ind w:left="4356"/>
        <w:rPr>
          <w:rFonts w:ascii="Times New Roman"/>
          <w:sz w:val="20"/>
        </w:rPr>
      </w:pPr>
      <w:r>
        <w:rPr>
          <w:rFonts w:ascii="Times New Roman"/>
          <w:noProof/>
          <w:sz w:val="20"/>
          <w:lang w:val="en-GB" w:eastAsia="en-GB"/>
        </w:rPr>
        <w:drawing>
          <wp:inline distT="0" distB="0" distL="0" distR="0" wp14:anchorId="478EA3CB" wp14:editId="462E8FB1">
            <wp:extent cx="781805" cy="91801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1805" cy="918019"/>
                    </a:xfrm>
                    <a:prstGeom prst="rect">
                      <a:avLst/>
                    </a:prstGeom>
                  </pic:spPr>
                </pic:pic>
              </a:graphicData>
            </a:graphic>
          </wp:inline>
        </w:drawing>
      </w:r>
    </w:p>
    <w:p w14:paraId="285E0085" w14:textId="77777777" w:rsidR="00E701E0" w:rsidRDefault="00E701E0">
      <w:pPr>
        <w:pStyle w:val="BodyText"/>
        <w:spacing w:before="2"/>
        <w:rPr>
          <w:rFonts w:ascii="Times New Roman"/>
          <w:sz w:val="16"/>
        </w:rPr>
      </w:pPr>
    </w:p>
    <w:p w14:paraId="627AC9EE" w14:textId="77777777" w:rsidR="00794EC9" w:rsidRDefault="00794EC9">
      <w:pPr>
        <w:spacing w:before="89"/>
        <w:ind w:left="1869"/>
        <w:rPr>
          <w:b/>
          <w:color w:val="C00000"/>
          <w:sz w:val="32"/>
        </w:rPr>
      </w:pPr>
    </w:p>
    <w:p w14:paraId="3946B0EE" w14:textId="214EAE20" w:rsidR="00E701E0" w:rsidRDefault="003037AA" w:rsidP="00794EC9">
      <w:pPr>
        <w:spacing w:before="89"/>
        <w:ind w:left="3309"/>
        <w:rPr>
          <w:b/>
          <w:color w:val="C00000"/>
          <w:sz w:val="32"/>
        </w:rPr>
      </w:pPr>
      <w:r>
        <w:rPr>
          <w:b/>
          <w:color w:val="C00000"/>
          <w:sz w:val="32"/>
        </w:rPr>
        <w:t xml:space="preserve">Gender Pay Gap </w:t>
      </w:r>
      <w:r w:rsidR="004F14F5">
        <w:rPr>
          <w:b/>
          <w:color w:val="C00000"/>
          <w:sz w:val="32"/>
        </w:rPr>
        <w:t>202</w:t>
      </w:r>
      <w:r w:rsidR="00794EC9">
        <w:rPr>
          <w:b/>
          <w:color w:val="C00000"/>
          <w:sz w:val="32"/>
        </w:rPr>
        <w:t>3</w:t>
      </w:r>
    </w:p>
    <w:p w14:paraId="20BDEDE5" w14:textId="77777777" w:rsidR="00794EC9" w:rsidRDefault="00794EC9" w:rsidP="00794EC9">
      <w:pPr>
        <w:spacing w:before="89"/>
        <w:ind w:left="3309"/>
        <w:rPr>
          <w:b/>
          <w:sz w:val="32"/>
        </w:rPr>
      </w:pPr>
    </w:p>
    <w:p w14:paraId="24C1022D" w14:textId="1E6EFDB5" w:rsidR="00E701E0" w:rsidRPr="00C02776" w:rsidRDefault="003037AA">
      <w:pPr>
        <w:pStyle w:val="ListParagraph"/>
        <w:numPr>
          <w:ilvl w:val="0"/>
          <w:numId w:val="1"/>
        </w:numPr>
        <w:tabs>
          <w:tab w:val="left" w:pos="821"/>
        </w:tabs>
        <w:spacing w:before="177"/>
        <w:rPr>
          <w:b/>
          <w:sz w:val="24"/>
          <w:szCs w:val="24"/>
        </w:rPr>
      </w:pPr>
      <w:r w:rsidRPr="00C02776">
        <w:rPr>
          <w:b/>
          <w:sz w:val="24"/>
          <w:szCs w:val="24"/>
        </w:rPr>
        <w:t>Opening Statement from the Chief</w:t>
      </w:r>
      <w:r w:rsidRPr="00C02776">
        <w:rPr>
          <w:b/>
          <w:spacing w:val="-14"/>
          <w:sz w:val="24"/>
          <w:szCs w:val="24"/>
        </w:rPr>
        <w:t xml:space="preserve"> </w:t>
      </w:r>
      <w:r w:rsidRPr="00C02776">
        <w:rPr>
          <w:b/>
          <w:sz w:val="24"/>
          <w:szCs w:val="24"/>
        </w:rPr>
        <w:t>Executive</w:t>
      </w:r>
      <w:r w:rsidR="0009652B">
        <w:rPr>
          <w:b/>
          <w:sz w:val="24"/>
          <w:szCs w:val="24"/>
        </w:rPr>
        <w:t xml:space="preserve"> and Deputy Leader</w:t>
      </w:r>
    </w:p>
    <w:p w14:paraId="1B7D4587" w14:textId="77777777" w:rsidR="00D00EE9" w:rsidRPr="00C02776" w:rsidRDefault="00D00EE9" w:rsidP="00D00EE9">
      <w:pPr>
        <w:spacing w:before="163" w:line="259" w:lineRule="auto"/>
        <w:ind w:left="100" w:right="117"/>
        <w:rPr>
          <w:i/>
          <w:sz w:val="24"/>
          <w:szCs w:val="24"/>
        </w:rPr>
      </w:pPr>
      <w:r w:rsidRPr="00C02776">
        <w:rPr>
          <w:sz w:val="24"/>
          <w:szCs w:val="24"/>
        </w:rPr>
        <w:t xml:space="preserve">The Council is required to comply with the Equality Act 2010 (Specific Duties and Public Authorities) Regulations 2017 and publish gender pay gap information for its workforce on an annual basis. It must do this through a submission to the Government and on its website. This is also </w:t>
      </w:r>
      <w:proofErr w:type="spellStart"/>
      <w:r w:rsidRPr="00C02776">
        <w:rPr>
          <w:sz w:val="24"/>
          <w:szCs w:val="24"/>
        </w:rPr>
        <w:t>recognised</w:t>
      </w:r>
      <w:proofErr w:type="spellEnd"/>
      <w:r w:rsidRPr="00C02776">
        <w:rPr>
          <w:sz w:val="24"/>
          <w:szCs w:val="24"/>
        </w:rPr>
        <w:t xml:space="preserve"> in the Well-being of Future Generations (Wales) Act 2015 where under </w:t>
      </w:r>
      <w:r w:rsidRPr="00C02776">
        <w:rPr>
          <w:i/>
          <w:sz w:val="24"/>
          <w:szCs w:val="24"/>
        </w:rPr>
        <w:t xml:space="preserve">“A More Equal Wales” </w:t>
      </w:r>
      <w:r w:rsidRPr="00C02776">
        <w:rPr>
          <w:sz w:val="24"/>
          <w:szCs w:val="24"/>
        </w:rPr>
        <w:t>it is stated that public sector bodies should be “</w:t>
      </w:r>
      <w:r w:rsidRPr="00C02776">
        <w:rPr>
          <w:i/>
          <w:sz w:val="24"/>
          <w:szCs w:val="24"/>
        </w:rPr>
        <w:t xml:space="preserve">Publishing data on protected characteristics and pay grades within the workforce” </w:t>
      </w:r>
      <w:r w:rsidRPr="00C02776">
        <w:rPr>
          <w:sz w:val="24"/>
          <w:szCs w:val="24"/>
        </w:rPr>
        <w:t xml:space="preserve">so that we have </w:t>
      </w:r>
      <w:r w:rsidRPr="00C02776">
        <w:rPr>
          <w:i/>
          <w:sz w:val="24"/>
          <w:szCs w:val="24"/>
        </w:rPr>
        <w:t>“a society that enables people to fulfil their potential no matter what their background or circumstances”.</w:t>
      </w:r>
    </w:p>
    <w:p w14:paraId="2FE102F7" w14:textId="026E524C" w:rsidR="004F14F5" w:rsidRPr="00C02776" w:rsidRDefault="00D00EE9" w:rsidP="004F14F5">
      <w:pPr>
        <w:spacing w:before="184" w:line="259" w:lineRule="auto"/>
        <w:ind w:left="100" w:right="357"/>
        <w:rPr>
          <w:sz w:val="24"/>
          <w:szCs w:val="24"/>
        </w:rPr>
      </w:pPr>
      <w:r w:rsidRPr="00C02776">
        <w:rPr>
          <w:sz w:val="24"/>
          <w:szCs w:val="24"/>
        </w:rPr>
        <w:t>As an exemplar employer</w:t>
      </w:r>
      <w:r w:rsidR="00794EC9">
        <w:rPr>
          <w:sz w:val="24"/>
          <w:szCs w:val="24"/>
        </w:rPr>
        <w:t>,</w:t>
      </w:r>
      <w:r w:rsidRPr="00C02776">
        <w:rPr>
          <w:sz w:val="24"/>
          <w:szCs w:val="24"/>
        </w:rPr>
        <w:t xml:space="preserve"> </w:t>
      </w:r>
      <w:r w:rsidR="00794EC9">
        <w:rPr>
          <w:sz w:val="24"/>
          <w:szCs w:val="24"/>
        </w:rPr>
        <w:t>the Council</w:t>
      </w:r>
      <w:r w:rsidRPr="00C02776">
        <w:rPr>
          <w:sz w:val="24"/>
          <w:szCs w:val="24"/>
        </w:rPr>
        <w:t xml:space="preserve"> remain</w:t>
      </w:r>
      <w:r w:rsidR="00794EC9">
        <w:rPr>
          <w:sz w:val="24"/>
          <w:szCs w:val="24"/>
        </w:rPr>
        <w:t>s</w:t>
      </w:r>
      <w:r w:rsidRPr="00C02776">
        <w:rPr>
          <w:sz w:val="24"/>
          <w:szCs w:val="24"/>
        </w:rPr>
        <w:t xml:space="preserve"> committed to the objective contained in our Strategic Equality Plan to </w:t>
      </w:r>
      <w:r w:rsidRPr="00C02776">
        <w:rPr>
          <w:i/>
          <w:sz w:val="24"/>
          <w:szCs w:val="24"/>
        </w:rPr>
        <w:t>“</w:t>
      </w:r>
      <w:r w:rsidR="007A2575">
        <w:rPr>
          <w:i/>
          <w:sz w:val="24"/>
          <w:szCs w:val="24"/>
        </w:rPr>
        <w:t>r</w:t>
      </w:r>
      <w:r w:rsidRPr="00C02776">
        <w:rPr>
          <w:i/>
          <w:sz w:val="24"/>
          <w:szCs w:val="24"/>
        </w:rPr>
        <w:t xml:space="preserve">educe pay gaps and create a more inclusive workforce that is more reflective of Swansea’s diverse communities.  </w:t>
      </w:r>
      <w:r w:rsidRPr="00C02776">
        <w:rPr>
          <w:sz w:val="24"/>
          <w:szCs w:val="24"/>
        </w:rPr>
        <w:t>We want to ensure that our employees are paid fairly and equitably</w:t>
      </w:r>
      <w:r w:rsidR="004F14F5" w:rsidRPr="00C02776">
        <w:rPr>
          <w:sz w:val="24"/>
          <w:szCs w:val="24"/>
        </w:rPr>
        <w:t xml:space="preserve">. </w:t>
      </w:r>
      <w:r w:rsidRPr="00C02776">
        <w:rPr>
          <w:sz w:val="24"/>
          <w:szCs w:val="24"/>
        </w:rPr>
        <w:t xml:space="preserve"> We will ensure that our pay and grading structure, our corporate policies and our internal practices promote equality</w:t>
      </w:r>
      <w:r w:rsidR="007A2575">
        <w:rPr>
          <w:sz w:val="24"/>
          <w:szCs w:val="24"/>
        </w:rPr>
        <w:t>.</w:t>
      </w:r>
    </w:p>
    <w:p w14:paraId="663B9D0A" w14:textId="468B45B1" w:rsidR="00E701E0" w:rsidRPr="00C02776" w:rsidRDefault="003037AA" w:rsidP="004F14F5">
      <w:pPr>
        <w:spacing w:before="184" w:line="259" w:lineRule="auto"/>
        <w:ind w:left="100" w:right="357"/>
        <w:rPr>
          <w:i/>
          <w:sz w:val="24"/>
          <w:szCs w:val="24"/>
        </w:rPr>
      </w:pPr>
      <w:r w:rsidRPr="00C02776">
        <w:rPr>
          <w:sz w:val="24"/>
          <w:szCs w:val="24"/>
        </w:rPr>
        <w:t xml:space="preserve">It is important that we do this so that we achieve </w:t>
      </w:r>
      <w:r w:rsidRPr="00C02776">
        <w:rPr>
          <w:i/>
          <w:sz w:val="24"/>
          <w:szCs w:val="24"/>
        </w:rPr>
        <w:t xml:space="preserve">our </w:t>
      </w:r>
      <w:r w:rsidRPr="007A2575">
        <w:rPr>
          <w:iCs/>
          <w:sz w:val="24"/>
          <w:szCs w:val="24"/>
        </w:rPr>
        <w:t xml:space="preserve">Workforce Strategy </w:t>
      </w:r>
      <w:r w:rsidR="007A2575">
        <w:rPr>
          <w:iCs/>
          <w:sz w:val="24"/>
          <w:szCs w:val="24"/>
        </w:rPr>
        <w:t>o</w:t>
      </w:r>
      <w:r w:rsidRPr="007A2575">
        <w:rPr>
          <w:iCs/>
          <w:sz w:val="24"/>
          <w:szCs w:val="24"/>
        </w:rPr>
        <w:t>bjective</w:t>
      </w:r>
      <w:r w:rsidRPr="00C02776">
        <w:rPr>
          <w:i/>
          <w:sz w:val="24"/>
          <w:szCs w:val="24"/>
        </w:rPr>
        <w:t xml:space="preserve"> to “have capable staff who are appropriately </w:t>
      </w:r>
      <w:proofErr w:type="spellStart"/>
      <w:r w:rsidRPr="00C02776">
        <w:rPr>
          <w:i/>
          <w:sz w:val="24"/>
          <w:szCs w:val="24"/>
        </w:rPr>
        <w:t>incentivised</w:t>
      </w:r>
      <w:proofErr w:type="spellEnd"/>
      <w:r w:rsidRPr="00C02776">
        <w:rPr>
          <w:i/>
          <w:sz w:val="24"/>
          <w:szCs w:val="24"/>
        </w:rPr>
        <w:t xml:space="preserve">, </w:t>
      </w:r>
      <w:proofErr w:type="spellStart"/>
      <w:r w:rsidRPr="00C02776">
        <w:rPr>
          <w:i/>
          <w:sz w:val="24"/>
          <w:szCs w:val="24"/>
        </w:rPr>
        <w:t>recognised</w:t>
      </w:r>
      <w:proofErr w:type="spellEnd"/>
      <w:r w:rsidRPr="00C02776">
        <w:rPr>
          <w:i/>
          <w:sz w:val="24"/>
          <w:szCs w:val="24"/>
        </w:rPr>
        <w:t xml:space="preserve"> and motivated to achieve a </w:t>
      </w:r>
      <w:proofErr w:type="gramStart"/>
      <w:r w:rsidRPr="00C02776">
        <w:rPr>
          <w:i/>
          <w:sz w:val="24"/>
          <w:szCs w:val="24"/>
        </w:rPr>
        <w:t>high performance</w:t>
      </w:r>
      <w:proofErr w:type="gramEnd"/>
      <w:r w:rsidRPr="00C02776">
        <w:rPr>
          <w:i/>
          <w:sz w:val="24"/>
          <w:szCs w:val="24"/>
        </w:rPr>
        <w:t xml:space="preserve"> culture across all teams and demonstrating our core values”.</w:t>
      </w:r>
    </w:p>
    <w:p w14:paraId="18046446" w14:textId="621E1151" w:rsidR="00E701E0" w:rsidRPr="00C02776" w:rsidRDefault="003037AA">
      <w:pPr>
        <w:pStyle w:val="BodyText"/>
        <w:spacing w:before="163" w:line="259" w:lineRule="auto"/>
        <w:ind w:left="100" w:right="117"/>
      </w:pPr>
      <w:r w:rsidRPr="00C02776">
        <w:t xml:space="preserve">As we continue to deal with the </w:t>
      </w:r>
      <w:r w:rsidR="004F14F5" w:rsidRPr="00C02776">
        <w:t xml:space="preserve">challenges facing the Council and the City we serve, </w:t>
      </w:r>
      <w:r w:rsidRPr="00C02776">
        <w:t>it has never been more important to harness the benefits of gender equality and gender pay gap reporting is central to this.</w:t>
      </w:r>
      <w:r w:rsidR="006848A3">
        <w:t xml:space="preserve"> We are pleased to see that the 2023 data shows a</w:t>
      </w:r>
      <w:r w:rsidR="002031D7">
        <w:t xml:space="preserve"> further</w:t>
      </w:r>
      <w:r w:rsidR="006848A3">
        <w:t xml:space="preserve"> closing of the gender pay gap and </w:t>
      </w:r>
      <w:r w:rsidR="002031D7">
        <w:t>that pay equity is improving.</w:t>
      </w:r>
    </w:p>
    <w:p w14:paraId="7B878A86" w14:textId="77777777" w:rsidR="004F14F5" w:rsidRDefault="004F14F5">
      <w:pPr>
        <w:pStyle w:val="BodyText"/>
        <w:spacing w:before="163" w:line="259" w:lineRule="auto"/>
        <w:ind w:left="100" w:right="117"/>
      </w:pPr>
    </w:p>
    <w:p w14:paraId="19DA2042" w14:textId="7160F193" w:rsidR="004F14F5" w:rsidRPr="00C02776" w:rsidRDefault="00C02776" w:rsidP="00C02776">
      <w:pPr>
        <w:pStyle w:val="BodyText"/>
        <w:spacing w:before="163" w:line="259" w:lineRule="auto"/>
        <w:ind w:left="100" w:right="117"/>
        <w:jc w:val="center"/>
        <w:rPr>
          <w:b/>
        </w:rPr>
      </w:pPr>
      <w:r w:rsidRPr="00C02776">
        <w:rPr>
          <w:b/>
        </w:rPr>
        <w:t>David Hopkins</w:t>
      </w:r>
      <w:r w:rsidRPr="00C02776">
        <w:rPr>
          <w:b/>
        </w:rPr>
        <w:tab/>
      </w:r>
      <w:r w:rsidRPr="00C02776">
        <w:rPr>
          <w:b/>
        </w:rPr>
        <w:tab/>
      </w:r>
      <w:r w:rsidRPr="00C02776">
        <w:rPr>
          <w:b/>
        </w:rPr>
        <w:tab/>
      </w:r>
      <w:r w:rsidRPr="00C02776">
        <w:rPr>
          <w:b/>
        </w:rPr>
        <w:tab/>
      </w:r>
      <w:r w:rsidRPr="00C02776">
        <w:rPr>
          <w:b/>
        </w:rPr>
        <w:tab/>
      </w:r>
      <w:r w:rsidRPr="00C02776">
        <w:rPr>
          <w:b/>
        </w:rPr>
        <w:tab/>
      </w:r>
      <w:r w:rsidRPr="00C02776">
        <w:rPr>
          <w:b/>
        </w:rPr>
        <w:tab/>
      </w:r>
      <w:r w:rsidR="004F14F5" w:rsidRPr="00C02776">
        <w:rPr>
          <w:b/>
        </w:rPr>
        <w:t>Martin Nicholls</w:t>
      </w:r>
    </w:p>
    <w:p w14:paraId="601434E7" w14:textId="5CC29AA8" w:rsidR="004F14F5" w:rsidRPr="00C02776" w:rsidRDefault="00C02776" w:rsidP="00C02776">
      <w:pPr>
        <w:pStyle w:val="BodyText"/>
        <w:spacing w:before="163" w:line="259" w:lineRule="auto"/>
        <w:ind w:left="100" w:right="117"/>
        <w:jc w:val="center"/>
        <w:rPr>
          <w:b/>
        </w:rPr>
      </w:pPr>
      <w:r w:rsidRPr="00C02776">
        <w:rPr>
          <w:b/>
        </w:rPr>
        <w:t>Deputy Leader</w:t>
      </w:r>
      <w:r w:rsidRPr="00C02776">
        <w:rPr>
          <w:b/>
        </w:rPr>
        <w:tab/>
      </w:r>
      <w:r w:rsidRPr="00C02776">
        <w:rPr>
          <w:b/>
        </w:rPr>
        <w:tab/>
      </w:r>
      <w:r w:rsidRPr="00C02776">
        <w:rPr>
          <w:b/>
        </w:rPr>
        <w:tab/>
      </w:r>
      <w:r w:rsidRPr="00C02776">
        <w:rPr>
          <w:b/>
        </w:rPr>
        <w:tab/>
      </w:r>
      <w:r w:rsidRPr="00C02776">
        <w:rPr>
          <w:b/>
        </w:rPr>
        <w:tab/>
      </w:r>
      <w:r w:rsidRPr="00C02776">
        <w:rPr>
          <w:b/>
        </w:rPr>
        <w:tab/>
      </w:r>
      <w:r w:rsidRPr="00C02776">
        <w:rPr>
          <w:b/>
        </w:rPr>
        <w:tab/>
      </w:r>
      <w:r w:rsidR="004F14F5" w:rsidRPr="00C02776">
        <w:rPr>
          <w:b/>
        </w:rPr>
        <w:t>Chief Executive</w:t>
      </w:r>
    </w:p>
    <w:p w14:paraId="023E7337" w14:textId="41796E26" w:rsidR="004F14F5" w:rsidRDefault="00C02776" w:rsidP="00C02776">
      <w:pPr>
        <w:jc w:val="center"/>
        <w:rPr>
          <w:sz w:val="29"/>
          <w:szCs w:val="24"/>
        </w:rPr>
      </w:pPr>
      <w:r>
        <w:tab/>
      </w:r>
      <w:r>
        <w:tab/>
      </w:r>
      <w:r>
        <w:tab/>
      </w:r>
      <w:r>
        <w:tab/>
      </w:r>
      <w:r>
        <w:tab/>
      </w:r>
      <w:r>
        <w:tab/>
      </w:r>
      <w:r w:rsidR="004F14F5">
        <w:rPr>
          <w:sz w:val="29"/>
        </w:rPr>
        <w:br w:type="page"/>
      </w:r>
    </w:p>
    <w:p w14:paraId="30D6AAAC" w14:textId="77777777" w:rsidR="00E701E0" w:rsidRDefault="004F14F5">
      <w:pPr>
        <w:pStyle w:val="ListParagraph"/>
        <w:numPr>
          <w:ilvl w:val="0"/>
          <w:numId w:val="1"/>
        </w:numPr>
        <w:tabs>
          <w:tab w:val="left" w:pos="821"/>
        </w:tabs>
        <w:rPr>
          <w:b/>
        </w:rPr>
      </w:pPr>
      <w:r>
        <w:rPr>
          <w:b/>
        </w:rPr>
        <w:lastRenderedPageBreak/>
        <w:t>What is t</w:t>
      </w:r>
      <w:r w:rsidR="003037AA">
        <w:rPr>
          <w:b/>
        </w:rPr>
        <w:t>he Gender Pay</w:t>
      </w:r>
      <w:r w:rsidR="003037AA">
        <w:rPr>
          <w:b/>
          <w:spacing w:val="-3"/>
        </w:rPr>
        <w:t xml:space="preserve"> </w:t>
      </w:r>
      <w:r w:rsidR="003037AA">
        <w:rPr>
          <w:b/>
        </w:rPr>
        <w:t>Gap</w:t>
      </w:r>
      <w:r>
        <w:rPr>
          <w:b/>
        </w:rPr>
        <w:t>?</w:t>
      </w:r>
    </w:p>
    <w:p w14:paraId="365E49FA" w14:textId="77777777" w:rsidR="000C608D" w:rsidRDefault="004F14F5">
      <w:pPr>
        <w:pStyle w:val="BodyText"/>
        <w:spacing w:before="184" w:line="259" w:lineRule="auto"/>
        <w:ind w:left="100" w:right="185"/>
      </w:pPr>
      <w:r>
        <w:t xml:space="preserve">The gender pay gap is a measure of the difference in the average </w:t>
      </w:r>
      <w:r w:rsidR="000C608D">
        <w:t xml:space="preserve">(mean or median) </w:t>
      </w:r>
      <w:r>
        <w:t xml:space="preserve">pay of men and women, regardless of the nature of their work, across the entire </w:t>
      </w:r>
      <w:proofErr w:type="spellStart"/>
      <w:r>
        <w:t>organisation</w:t>
      </w:r>
      <w:proofErr w:type="spellEnd"/>
      <w:r>
        <w:t xml:space="preserve">. </w:t>
      </w:r>
      <w:r w:rsidR="000C608D">
        <w:t xml:space="preserve">This is usually expressed as a percentage of male pay, with a positive figure being in </w:t>
      </w:r>
      <w:proofErr w:type="spellStart"/>
      <w:r w:rsidR="000C608D">
        <w:t>favour</w:t>
      </w:r>
      <w:proofErr w:type="spellEnd"/>
      <w:r w:rsidR="000C608D">
        <w:t xml:space="preserve"> of males, and a negative figure being in </w:t>
      </w:r>
      <w:proofErr w:type="spellStart"/>
      <w:r w:rsidR="000C608D">
        <w:t>favour</w:t>
      </w:r>
      <w:proofErr w:type="spellEnd"/>
      <w:r w:rsidR="000C608D">
        <w:t xml:space="preserve"> of females.</w:t>
      </w:r>
    </w:p>
    <w:p w14:paraId="5A48BCDB" w14:textId="77777777" w:rsidR="004F14F5" w:rsidRDefault="004F14F5">
      <w:pPr>
        <w:pStyle w:val="BodyText"/>
        <w:spacing w:before="184" w:line="259" w:lineRule="auto"/>
        <w:ind w:left="100" w:right="185"/>
      </w:pPr>
      <w:r>
        <w:t xml:space="preserve">It is different from an equal pay comparison, which is the comparison of two people or groups of people carrying out the same, </w:t>
      </w:r>
      <w:proofErr w:type="gramStart"/>
      <w:r>
        <w:t>similar</w:t>
      </w:r>
      <w:proofErr w:type="gramEnd"/>
      <w:r>
        <w:t xml:space="preserve"> or equivalent work. </w:t>
      </w:r>
      <w:r w:rsidR="000C608D">
        <w:t xml:space="preserve">The equal pay gap refers to unjustifiable differences in pay for men and women undertaking work of equal value, where this is </w:t>
      </w:r>
      <w:proofErr w:type="spellStart"/>
      <w:r w:rsidR="000C608D">
        <w:t>scrutinised</w:t>
      </w:r>
      <w:proofErr w:type="spellEnd"/>
      <w:r w:rsidR="000C608D">
        <w:t xml:space="preserve"> at the individual level, for example through a Job Evaluation process.</w:t>
      </w:r>
    </w:p>
    <w:p w14:paraId="338210E0" w14:textId="77777777" w:rsidR="004F14F5" w:rsidRDefault="004F14F5">
      <w:pPr>
        <w:pStyle w:val="BodyText"/>
        <w:spacing w:before="184" w:line="259" w:lineRule="auto"/>
        <w:ind w:left="100" w:right="185"/>
      </w:pPr>
      <w:r>
        <w:t xml:space="preserve">The gender </w:t>
      </w:r>
      <w:proofErr w:type="gramStart"/>
      <w:r>
        <w:t>pay</w:t>
      </w:r>
      <w:proofErr w:type="gramEnd"/>
      <w:r>
        <w:t xml:space="preserve"> gap regulations require </w:t>
      </w:r>
      <w:proofErr w:type="spellStart"/>
      <w:r>
        <w:t>organisations</w:t>
      </w:r>
      <w:proofErr w:type="spellEnd"/>
      <w:r>
        <w:t xml:space="preserve"> with over 250 employees to publish a range of data including; </w:t>
      </w:r>
    </w:p>
    <w:p w14:paraId="1FCE29C2" w14:textId="77777777" w:rsidR="004F14F5" w:rsidRDefault="004F14F5">
      <w:pPr>
        <w:pStyle w:val="BodyText"/>
        <w:spacing w:before="184" w:line="259" w:lineRule="auto"/>
        <w:ind w:left="100" w:right="185"/>
      </w:pPr>
      <w:r>
        <w:t xml:space="preserve">• The mean gender pay pap </w:t>
      </w:r>
    </w:p>
    <w:p w14:paraId="4324BCC9" w14:textId="77777777" w:rsidR="004F14F5" w:rsidRDefault="004F14F5">
      <w:pPr>
        <w:pStyle w:val="BodyText"/>
        <w:spacing w:before="184" w:line="259" w:lineRule="auto"/>
        <w:ind w:left="100" w:right="185"/>
      </w:pPr>
      <w:r>
        <w:t xml:space="preserve">• The median gender pay gap </w:t>
      </w:r>
    </w:p>
    <w:p w14:paraId="736B4588" w14:textId="77777777" w:rsidR="004F14F5" w:rsidRDefault="004F14F5">
      <w:pPr>
        <w:pStyle w:val="BodyText"/>
        <w:spacing w:before="184" w:line="259" w:lineRule="auto"/>
        <w:ind w:left="100" w:right="185"/>
      </w:pPr>
      <w:r>
        <w:t xml:space="preserve">• The mean bonus gender pay gap </w:t>
      </w:r>
    </w:p>
    <w:p w14:paraId="75575C6D" w14:textId="77777777" w:rsidR="004F14F5" w:rsidRDefault="004F14F5">
      <w:pPr>
        <w:pStyle w:val="BodyText"/>
        <w:spacing w:before="184" w:line="259" w:lineRule="auto"/>
        <w:ind w:left="100" w:right="185"/>
      </w:pPr>
      <w:r>
        <w:t>• The median bonus gender pay gap</w:t>
      </w:r>
    </w:p>
    <w:p w14:paraId="3381C2B3" w14:textId="77777777" w:rsidR="004F14F5" w:rsidRDefault="004F14F5">
      <w:pPr>
        <w:pStyle w:val="BodyText"/>
        <w:spacing w:before="184" w:line="259" w:lineRule="auto"/>
        <w:ind w:left="100" w:right="185"/>
      </w:pPr>
      <w:r>
        <w:t xml:space="preserve">• The proportion of males receiving a bonus payment </w:t>
      </w:r>
    </w:p>
    <w:p w14:paraId="141725AC" w14:textId="77777777" w:rsidR="004F14F5" w:rsidRDefault="004F14F5">
      <w:pPr>
        <w:pStyle w:val="BodyText"/>
        <w:spacing w:before="184" w:line="259" w:lineRule="auto"/>
        <w:ind w:left="100" w:right="185"/>
      </w:pPr>
      <w:r>
        <w:t xml:space="preserve">• The proportion of females receiving a bonus payment </w:t>
      </w:r>
    </w:p>
    <w:p w14:paraId="570CE663" w14:textId="6554D616" w:rsidR="004F14F5" w:rsidRDefault="004F14F5">
      <w:pPr>
        <w:pStyle w:val="BodyText"/>
        <w:spacing w:before="184" w:line="259" w:lineRule="auto"/>
        <w:ind w:left="100" w:right="185"/>
      </w:pPr>
      <w:r>
        <w:t>• The proportion of males and females in each quartile pay ban</w:t>
      </w:r>
      <w:r w:rsidR="00F131EC">
        <w:t>d</w:t>
      </w:r>
    </w:p>
    <w:p w14:paraId="24EF58EE" w14:textId="77777777" w:rsidR="00E701E0" w:rsidRDefault="003037AA">
      <w:pPr>
        <w:pStyle w:val="BodyText"/>
        <w:spacing w:before="160" w:line="259" w:lineRule="auto"/>
        <w:ind w:left="100" w:right="465"/>
      </w:pPr>
      <w:r>
        <w:t>To meet reporting requirements, currently Schools information is excluded, as governing bodies should report directly where the establishments employ 250 or more staff.</w:t>
      </w:r>
    </w:p>
    <w:p w14:paraId="0D336AB2" w14:textId="77777777" w:rsidR="000C608D" w:rsidRDefault="000C608D">
      <w:pPr>
        <w:pStyle w:val="BodyText"/>
        <w:spacing w:before="160" w:line="259" w:lineRule="auto"/>
        <w:ind w:left="100" w:right="465"/>
      </w:pPr>
    </w:p>
    <w:p w14:paraId="0890E60A" w14:textId="77777777" w:rsidR="000C608D" w:rsidRDefault="000C608D">
      <w:pPr>
        <w:rPr>
          <w:sz w:val="24"/>
          <w:szCs w:val="24"/>
        </w:rPr>
      </w:pPr>
      <w:r>
        <w:br w:type="page"/>
      </w:r>
    </w:p>
    <w:p w14:paraId="39D5CA07" w14:textId="77777777" w:rsidR="00E701E0" w:rsidRDefault="000C608D">
      <w:pPr>
        <w:pStyle w:val="ListParagraph"/>
        <w:numPr>
          <w:ilvl w:val="0"/>
          <w:numId w:val="1"/>
        </w:numPr>
        <w:tabs>
          <w:tab w:val="left" w:pos="821"/>
        </w:tabs>
        <w:spacing w:before="77"/>
        <w:rPr>
          <w:b/>
        </w:rPr>
      </w:pPr>
      <w:r>
        <w:rPr>
          <w:b/>
        </w:rPr>
        <w:lastRenderedPageBreak/>
        <w:t>What Do We Include in our Calculations?</w:t>
      </w:r>
    </w:p>
    <w:p w14:paraId="59B43174" w14:textId="77777777" w:rsidR="00E701E0" w:rsidRDefault="003037AA">
      <w:pPr>
        <w:pStyle w:val="BodyText"/>
        <w:spacing w:before="182" w:line="259" w:lineRule="auto"/>
        <w:ind w:left="100" w:right="84"/>
      </w:pPr>
      <w:proofErr w:type="gramStart"/>
      <w:r>
        <w:t>In order to</w:t>
      </w:r>
      <w:proofErr w:type="gramEnd"/>
      <w:r>
        <w:t xml:space="preserve"> meet regulatory reporting requirements, we are required to report on full pay relevant employees, which is </w:t>
      </w:r>
      <w:proofErr w:type="spellStart"/>
      <w:r>
        <w:t>summarised</w:t>
      </w:r>
      <w:proofErr w:type="spellEnd"/>
      <w:r>
        <w:t xml:space="preserve"> on our website, and reported on the .GOV website.</w:t>
      </w:r>
    </w:p>
    <w:p w14:paraId="70DA10D8" w14:textId="77777777" w:rsidR="00E701E0" w:rsidRDefault="003037AA">
      <w:pPr>
        <w:pStyle w:val="BodyText"/>
        <w:spacing w:before="158" w:line="259" w:lineRule="auto"/>
        <w:ind w:left="100" w:right="151"/>
      </w:pPr>
      <w:proofErr w:type="gramStart"/>
      <w:r>
        <w:t>In order to</w:t>
      </w:r>
      <w:proofErr w:type="gramEnd"/>
      <w:r>
        <w:t xml:space="preserve"> develop an understanding of the true picture of our gender pay gap, the Council undertook more in-depth gender pay gap analysis across each of the grades in the main pay structure in 2019, so that issues that may have direct influence on gender pay issues can be highlighted more directly. This analysis was published in the annual Gender Pay Gap report.</w:t>
      </w:r>
    </w:p>
    <w:p w14:paraId="78C52946" w14:textId="040EACCC" w:rsidR="00E701E0" w:rsidRDefault="003037AA">
      <w:pPr>
        <w:pStyle w:val="BodyText"/>
        <w:spacing w:before="156" w:line="259" w:lineRule="auto"/>
        <w:ind w:left="100" w:right="84"/>
      </w:pPr>
      <w:r>
        <w:t>The data reported is for the year end 31</w:t>
      </w:r>
      <w:proofErr w:type="spellStart"/>
      <w:proofErr w:type="gramStart"/>
      <w:r w:rsidRPr="00F946C4">
        <w:rPr>
          <w:position w:val="8"/>
          <w:sz w:val="16"/>
          <w:vertAlign w:val="superscript"/>
        </w:rPr>
        <w:t>st</w:t>
      </w:r>
      <w:proofErr w:type="spellEnd"/>
      <w:r w:rsidR="00F946C4">
        <w:rPr>
          <w:position w:val="8"/>
          <w:sz w:val="16"/>
        </w:rPr>
        <w:t xml:space="preserve"> </w:t>
      </w:r>
      <w:r w:rsidR="008F2D87">
        <w:rPr>
          <w:position w:val="8"/>
          <w:sz w:val="16"/>
        </w:rPr>
        <w:t xml:space="preserve"> </w:t>
      </w:r>
      <w:r>
        <w:t>March</w:t>
      </w:r>
      <w:proofErr w:type="gramEnd"/>
      <w:r>
        <w:t xml:space="preserve"> 202</w:t>
      </w:r>
      <w:r w:rsidR="00467529">
        <w:t>3</w:t>
      </w:r>
      <w:r>
        <w:t xml:space="preserve"> and is based on ‘full pay relevant employees’ pay (excluding schools, including active casual workforce).</w:t>
      </w:r>
    </w:p>
    <w:p w14:paraId="3ECD578B" w14:textId="77777777" w:rsidR="000C608D" w:rsidRDefault="000C608D">
      <w:pPr>
        <w:pStyle w:val="BodyText"/>
        <w:spacing w:before="11"/>
      </w:pPr>
    </w:p>
    <w:p w14:paraId="66A445BD" w14:textId="77777777" w:rsidR="00E701E0" w:rsidRDefault="000C608D" w:rsidP="00467529">
      <w:pPr>
        <w:pStyle w:val="BodyText"/>
        <w:spacing w:before="11"/>
        <w:ind w:left="100"/>
      </w:pPr>
      <w:r>
        <w:t>It does not include overtime, pay relating to termination of employment or any other non-cash benefits.</w:t>
      </w:r>
    </w:p>
    <w:p w14:paraId="4714401F" w14:textId="77777777" w:rsidR="00E701E0" w:rsidRDefault="003037AA">
      <w:pPr>
        <w:pStyle w:val="BodyText"/>
        <w:spacing w:before="184" w:line="259" w:lineRule="auto"/>
        <w:ind w:left="100" w:right="298"/>
      </w:pPr>
      <w:r>
        <w:t>The Council implemented its Single Status project in April 2014, thus eradicating all bonus payments for staff.  Therefore, this is reported as 0% on the .GOV website.</w:t>
      </w:r>
    </w:p>
    <w:p w14:paraId="6EECC4A5" w14:textId="77777777" w:rsidR="009C19F3" w:rsidRDefault="009C19F3">
      <w:pPr>
        <w:pStyle w:val="BodyText"/>
        <w:spacing w:before="184" w:line="259" w:lineRule="auto"/>
        <w:ind w:left="100" w:right="298"/>
      </w:pPr>
    </w:p>
    <w:p w14:paraId="0C40D08D" w14:textId="77777777" w:rsidR="009C19F3" w:rsidRPr="009C19F3" w:rsidRDefault="009C19F3" w:rsidP="009C19F3">
      <w:pPr>
        <w:pStyle w:val="BodyText"/>
        <w:numPr>
          <w:ilvl w:val="0"/>
          <w:numId w:val="1"/>
        </w:numPr>
        <w:spacing w:before="184" w:line="259" w:lineRule="auto"/>
        <w:ind w:right="298"/>
        <w:rPr>
          <w:b/>
        </w:rPr>
      </w:pPr>
      <w:r w:rsidRPr="009C19F3">
        <w:rPr>
          <w:b/>
        </w:rPr>
        <w:t>Who Do We Include in Our Calculations?</w:t>
      </w:r>
    </w:p>
    <w:p w14:paraId="2D8D6633" w14:textId="77777777" w:rsidR="009C19F3" w:rsidRDefault="009C19F3" w:rsidP="009C19F3">
      <w:pPr>
        <w:pStyle w:val="BodyText"/>
        <w:spacing w:before="184" w:line="259" w:lineRule="auto"/>
        <w:ind w:right="298"/>
      </w:pPr>
    </w:p>
    <w:p w14:paraId="2496761D" w14:textId="5A116C30" w:rsidR="00E701E0" w:rsidRDefault="009C19F3" w:rsidP="009C19F3">
      <w:pPr>
        <w:pStyle w:val="BodyText"/>
        <w:spacing w:before="8"/>
      </w:pPr>
      <w:r>
        <w:t xml:space="preserve">Using the gender pay gap reporting regulations and ACAS’s guidance “Public Sector: Gender Pay Gap Reporting”, we have taken pay data from the Council workforce of relevant employees, of which </w:t>
      </w:r>
      <w:r w:rsidR="004F5A58" w:rsidRPr="001A7DC7">
        <w:t>60</w:t>
      </w:r>
      <w:r w:rsidRPr="001A7DC7">
        <w:t xml:space="preserve">% are women and </w:t>
      </w:r>
      <w:r w:rsidR="004F5A58" w:rsidRPr="001A7DC7">
        <w:t>40</w:t>
      </w:r>
      <w:r w:rsidRPr="001A7DC7">
        <w:t>% are men.</w:t>
      </w:r>
      <w:r>
        <w:t xml:space="preserve"> </w:t>
      </w:r>
    </w:p>
    <w:p w14:paraId="3B3E0A3B" w14:textId="77777777" w:rsidR="005B35C1" w:rsidRDefault="005B35C1">
      <w:pPr>
        <w:pStyle w:val="BodyText"/>
        <w:spacing w:line="259" w:lineRule="auto"/>
        <w:ind w:left="100" w:right="84"/>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6"/>
        <w:gridCol w:w="3245"/>
        <w:gridCol w:w="3248"/>
      </w:tblGrid>
      <w:tr w:rsidR="002A54A1" w:rsidRPr="002A54A1" w14:paraId="131150F8" w14:textId="77777777">
        <w:trPr>
          <w:trHeight w:hRule="exact" w:val="468"/>
        </w:trPr>
        <w:tc>
          <w:tcPr>
            <w:tcW w:w="3246" w:type="dxa"/>
          </w:tcPr>
          <w:p w14:paraId="561B4F27" w14:textId="77777777" w:rsidR="00E701E0" w:rsidRPr="002A54A1" w:rsidRDefault="003037AA">
            <w:pPr>
              <w:pStyle w:val="TableParagraph"/>
              <w:spacing w:line="274" w:lineRule="exact"/>
              <w:ind w:left="103"/>
              <w:rPr>
                <w:rFonts w:ascii="Arial"/>
                <w:sz w:val="24"/>
              </w:rPr>
            </w:pPr>
            <w:r w:rsidRPr="002A54A1">
              <w:rPr>
                <w:rFonts w:ascii="Arial"/>
                <w:sz w:val="24"/>
              </w:rPr>
              <w:t>Gender</w:t>
            </w:r>
          </w:p>
        </w:tc>
        <w:tc>
          <w:tcPr>
            <w:tcW w:w="3245" w:type="dxa"/>
          </w:tcPr>
          <w:p w14:paraId="70B85D36" w14:textId="77777777" w:rsidR="00E701E0" w:rsidRPr="002A54A1" w:rsidRDefault="003037AA">
            <w:pPr>
              <w:pStyle w:val="TableParagraph"/>
              <w:spacing w:line="274" w:lineRule="exact"/>
              <w:ind w:left="103"/>
              <w:rPr>
                <w:rFonts w:ascii="Arial"/>
                <w:sz w:val="24"/>
              </w:rPr>
            </w:pPr>
            <w:r w:rsidRPr="002A54A1">
              <w:rPr>
                <w:rFonts w:ascii="Arial"/>
                <w:sz w:val="24"/>
              </w:rPr>
              <w:t>Full-Time</w:t>
            </w:r>
          </w:p>
        </w:tc>
        <w:tc>
          <w:tcPr>
            <w:tcW w:w="3248" w:type="dxa"/>
          </w:tcPr>
          <w:p w14:paraId="6BDCDCD9" w14:textId="77777777" w:rsidR="00E701E0" w:rsidRPr="002A54A1" w:rsidRDefault="003037AA">
            <w:pPr>
              <w:pStyle w:val="TableParagraph"/>
              <w:spacing w:line="274" w:lineRule="exact"/>
              <w:ind w:left="103"/>
              <w:rPr>
                <w:rFonts w:ascii="Arial"/>
                <w:sz w:val="24"/>
              </w:rPr>
            </w:pPr>
            <w:r w:rsidRPr="002A54A1">
              <w:rPr>
                <w:rFonts w:ascii="Arial"/>
                <w:sz w:val="24"/>
              </w:rPr>
              <w:t>Part-time</w:t>
            </w:r>
          </w:p>
        </w:tc>
      </w:tr>
      <w:tr w:rsidR="002A54A1" w:rsidRPr="002A54A1" w14:paraId="22107452" w14:textId="77777777">
        <w:trPr>
          <w:trHeight w:hRule="exact" w:val="468"/>
        </w:trPr>
        <w:tc>
          <w:tcPr>
            <w:tcW w:w="3246" w:type="dxa"/>
          </w:tcPr>
          <w:p w14:paraId="1A5BEF5F" w14:textId="77777777" w:rsidR="00E701E0" w:rsidRPr="002A54A1" w:rsidRDefault="003037AA">
            <w:pPr>
              <w:pStyle w:val="TableParagraph"/>
              <w:spacing w:line="274" w:lineRule="exact"/>
              <w:ind w:left="103"/>
              <w:rPr>
                <w:rFonts w:ascii="Arial"/>
                <w:sz w:val="24"/>
              </w:rPr>
            </w:pPr>
            <w:r w:rsidRPr="002A54A1">
              <w:rPr>
                <w:rFonts w:ascii="Arial"/>
                <w:sz w:val="24"/>
              </w:rPr>
              <w:t>Female</w:t>
            </w:r>
          </w:p>
        </w:tc>
        <w:tc>
          <w:tcPr>
            <w:tcW w:w="3245" w:type="dxa"/>
          </w:tcPr>
          <w:p w14:paraId="53FAC89B" w14:textId="65A2E6BA" w:rsidR="00E701E0" w:rsidRPr="004D56FA" w:rsidRDefault="003037AA">
            <w:pPr>
              <w:pStyle w:val="TableParagraph"/>
              <w:spacing w:line="274" w:lineRule="exact"/>
              <w:ind w:left="103"/>
              <w:rPr>
                <w:rFonts w:ascii="Arial"/>
                <w:sz w:val="24"/>
              </w:rPr>
            </w:pPr>
            <w:r w:rsidRPr="004D56FA">
              <w:rPr>
                <w:rFonts w:ascii="Arial"/>
                <w:sz w:val="24"/>
              </w:rPr>
              <w:t>2</w:t>
            </w:r>
            <w:r w:rsidR="001A7DC7" w:rsidRPr="004D56FA">
              <w:rPr>
                <w:rFonts w:ascii="Arial"/>
                <w:sz w:val="24"/>
              </w:rPr>
              <w:t>6</w:t>
            </w:r>
            <w:r w:rsidRPr="004D56FA">
              <w:rPr>
                <w:rFonts w:ascii="Arial"/>
                <w:sz w:val="24"/>
              </w:rPr>
              <w:t>%</w:t>
            </w:r>
          </w:p>
        </w:tc>
        <w:tc>
          <w:tcPr>
            <w:tcW w:w="3248" w:type="dxa"/>
          </w:tcPr>
          <w:p w14:paraId="56EECBE2" w14:textId="522ED795" w:rsidR="00E701E0" w:rsidRPr="004D56FA" w:rsidRDefault="003037AA">
            <w:pPr>
              <w:pStyle w:val="TableParagraph"/>
              <w:spacing w:line="274" w:lineRule="exact"/>
              <w:ind w:left="103"/>
              <w:rPr>
                <w:rFonts w:ascii="Arial"/>
                <w:sz w:val="24"/>
              </w:rPr>
            </w:pPr>
            <w:r w:rsidRPr="004D56FA">
              <w:rPr>
                <w:rFonts w:ascii="Arial"/>
                <w:sz w:val="24"/>
              </w:rPr>
              <w:t>3</w:t>
            </w:r>
            <w:r w:rsidR="004D56FA" w:rsidRPr="004D56FA">
              <w:rPr>
                <w:rFonts w:ascii="Arial"/>
                <w:sz w:val="24"/>
              </w:rPr>
              <w:t>4</w:t>
            </w:r>
            <w:r w:rsidRPr="004D56FA">
              <w:rPr>
                <w:rFonts w:ascii="Arial"/>
                <w:sz w:val="24"/>
              </w:rPr>
              <w:t>%</w:t>
            </w:r>
          </w:p>
        </w:tc>
      </w:tr>
      <w:tr w:rsidR="00E701E0" w:rsidRPr="002A54A1" w14:paraId="1648AE48" w14:textId="77777777">
        <w:trPr>
          <w:trHeight w:hRule="exact" w:val="468"/>
        </w:trPr>
        <w:tc>
          <w:tcPr>
            <w:tcW w:w="3246" w:type="dxa"/>
          </w:tcPr>
          <w:p w14:paraId="6C4B31BF" w14:textId="77777777" w:rsidR="00E701E0" w:rsidRPr="002A54A1" w:rsidRDefault="003037AA">
            <w:pPr>
              <w:pStyle w:val="TableParagraph"/>
              <w:spacing w:line="274" w:lineRule="exact"/>
              <w:ind w:left="103"/>
              <w:rPr>
                <w:rFonts w:ascii="Arial"/>
                <w:sz w:val="24"/>
              </w:rPr>
            </w:pPr>
            <w:r w:rsidRPr="002A54A1">
              <w:rPr>
                <w:rFonts w:ascii="Arial"/>
                <w:sz w:val="24"/>
              </w:rPr>
              <w:t>Male</w:t>
            </w:r>
          </w:p>
        </w:tc>
        <w:tc>
          <w:tcPr>
            <w:tcW w:w="3245" w:type="dxa"/>
          </w:tcPr>
          <w:p w14:paraId="1BC062ED" w14:textId="3805F747" w:rsidR="00E701E0" w:rsidRPr="004D56FA" w:rsidRDefault="003037AA">
            <w:pPr>
              <w:pStyle w:val="TableParagraph"/>
              <w:spacing w:line="274" w:lineRule="exact"/>
              <w:ind w:left="103"/>
              <w:rPr>
                <w:rFonts w:ascii="Arial"/>
                <w:sz w:val="24"/>
              </w:rPr>
            </w:pPr>
            <w:r w:rsidRPr="004D56FA">
              <w:rPr>
                <w:rFonts w:ascii="Arial"/>
                <w:sz w:val="24"/>
              </w:rPr>
              <w:t>3</w:t>
            </w:r>
            <w:r w:rsidR="004D56FA" w:rsidRPr="004D56FA">
              <w:rPr>
                <w:rFonts w:ascii="Arial"/>
                <w:sz w:val="24"/>
              </w:rPr>
              <w:t>4</w:t>
            </w:r>
            <w:r w:rsidRPr="004D56FA">
              <w:rPr>
                <w:rFonts w:ascii="Arial"/>
                <w:sz w:val="24"/>
              </w:rPr>
              <w:t>%</w:t>
            </w:r>
          </w:p>
        </w:tc>
        <w:tc>
          <w:tcPr>
            <w:tcW w:w="3248" w:type="dxa"/>
          </w:tcPr>
          <w:p w14:paraId="3E9FDF5C" w14:textId="77777777" w:rsidR="00E701E0" w:rsidRPr="004D56FA" w:rsidRDefault="003037AA">
            <w:pPr>
              <w:pStyle w:val="TableParagraph"/>
              <w:spacing w:line="274" w:lineRule="exact"/>
              <w:ind w:left="103"/>
              <w:rPr>
                <w:rFonts w:ascii="Arial"/>
                <w:sz w:val="24"/>
              </w:rPr>
            </w:pPr>
            <w:r w:rsidRPr="004D56FA">
              <w:rPr>
                <w:rFonts w:ascii="Arial"/>
                <w:sz w:val="24"/>
              </w:rPr>
              <w:t>6%</w:t>
            </w:r>
          </w:p>
        </w:tc>
      </w:tr>
    </w:tbl>
    <w:p w14:paraId="7D52BC2C" w14:textId="43BA80D4" w:rsidR="00E701E0" w:rsidRPr="002A54A1" w:rsidRDefault="00E701E0">
      <w:pPr>
        <w:pStyle w:val="BodyText"/>
        <w:rPr>
          <w:sz w:val="26"/>
        </w:rPr>
      </w:pPr>
    </w:p>
    <w:p w14:paraId="6A09D0C7" w14:textId="77777777" w:rsidR="00E701E0" w:rsidRDefault="00E701E0">
      <w:pPr>
        <w:pStyle w:val="BodyText"/>
        <w:spacing w:before="11"/>
        <w:rPr>
          <w:sz w:val="23"/>
        </w:rPr>
      </w:pPr>
    </w:p>
    <w:p w14:paraId="159B589C" w14:textId="77777777" w:rsidR="00E701E0" w:rsidRDefault="003037AA">
      <w:pPr>
        <w:pStyle w:val="BodyText"/>
        <w:ind w:left="100"/>
      </w:pPr>
      <w:r>
        <w:t>The non-school workforce, full and part time, the gender pay gap would be as follows:</w:t>
      </w:r>
    </w:p>
    <w:p w14:paraId="03A304E2" w14:textId="77777777" w:rsidR="00E701E0" w:rsidRDefault="00E701E0">
      <w:pPr>
        <w:pStyle w:val="BodyText"/>
        <w:spacing w:before="11"/>
        <w:rPr>
          <w:sz w:val="23"/>
        </w:rPr>
      </w:pPr>
    </w:p>
    <w:p w14:paraId="1FFF0C06" w14:textId="7B5783EA" w:rsidR="00E701E0" w:rsidRDefault="003037AA">
      <w:pPr>
        <w:pStyle w:val="Heading1"/>
      </w:pPr>
      <w:r>
        <w:t>Average (mean) hourly pay</w:t>
      </w:r>
      <w:r w:rsidR="003D2781">
        <w:t xml:space="preserve"> (31</w:t>
      </w:r>
      <w:r w:rsidR="003D2781" w:rsidRPr="003D2781">
        <w:rPr>
          <w:vertAlign w:val="superscript"/>
        </w:rPr>
        <w:t>st</w:t>
      </w:r>
      <w:r w:rsidR="003D2781">
        <w:t xml:space="preserve"> March 202</w:t>
      </w:r>
      <w:r w:rsidR="00792F17">
        <w:t>3</w:t>
      </w:r>
      <w:r w:rsidR="003D2781">
        <w:t>)</w:t>
      </w:r>
    </w:p>
    <w:p w14:paraId="167D0551" w14:textId="77777777" w:rsidR="00F946C4" w:rsidRDefault="00F946C4">
      <w:pPr>
        <w:pStyle w:val="Heading1"/>
      </w:pPr>
    </w:p>
    <w:tbl>
      <w:tblPr>
        <w:tblW w:w="9772" w:type="dxa"/>
        <w:tblInd w:w="-1" w:type="dxa"/>
        <w:tblCellMar>
          <w:left w:w="0" w:type="dxa"/>
          <w:right w:w="0" w:type="dxa"/>
        </w:tblCellMar>
        <w:tblLook w:val="04A0" w:firstRow="1" w:lastRow="0" w:firstColumn="1" w:lastColumn="0" w:noHBand="0" w:noVBand="1"/>
      </w:tblPr>
      <w:tblGrid>
        <w:gridCol w:w="3819"/>
        <w:gridCol w:w="2268"/>
        <w:gridCol w:w="1701"/>
        <w:gridCol w:w="1984"/>
      </w:tblGrid>
      <w:tr w:rsidR="00F946C4" w14:paraId="2F1F60FC" w14:textId="77777777" w:rsidTr="002A54A1">
        <w:trPr>
          <w:trHeight w:val="255"/>
        </w:trPr>
        <w:tc>
          <w:tcPr>
            <w:tcW w:w="3819"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hideMark/>
          </w:tcPr>
          <w:p w14:paraId="5541C4AC" w14:textId="77777777" w:rsidR="00F946C4" w:rsidRDefault="00F946C4">
            <w:pPr>
              <w:rPr>
                <w:rFonts w:ascii="Times New Roman" w:eastAsia="Times New Roman" w:hAnsi="Times New Roman" w:cs="Times New Roman"/>
              </w:rPr>
            </w:pPr>
          </w:p>
        </w:tc>
        <w:tc>
          <w:tcPr>
            <w:tcW w:w="2268"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center"/>
            <w:hideMark/>
          </w:tcPr>
          <w:p w14:paraId="5722E8ED" w14:textId="77777777" w:rsidR="00F946C4" w:rsidRDefault="00F946C4">
            <w:pPr>
              <w:jc w:val="center"/>
              <w:rPr>
                <w:rFonts w:eastAsiaTheme="minorHAnsi"/>
                <w:color w:val="000000"/>
                <w:sz w:val="20"/>
                <w:szCs w:val="20"/>
                <w:lang w:eastAsia="en-GB"/>
              </w:rPr>
            </w:pPr>
            <w:r>
              <w:rPr>
                <w:color w:val="000000"/>
                <w:sz w:val="20"/>
                <w:szCs w:val="20"/>
                <w:lang w:eastAsia="en-GB"/>
              </w:rPr>
              <w:t>Mean</w:t>
            </w:r>
          </w:p>
        </w:tc>
        <w:tc>
          <w:tcPr>
            <w:tcW w:w="1701"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center"/>
            <w:hideMark/>
          </w:tcPr>
          <w:p w14:paraId="714EC242" w14:textId="77777777" w:rsidR="00F946C4" w:rsidRDefault="00F946C4">
            <w:pPr>
              <w:jc w:val="center"/>
              <w:rPr>
                <w:color w:val="000000"/>
                <w:sz w:val="20"/>
                <w:szCs w:val="20"/>
                <w:lang w:eastAsia="en-GB"/>
              </w:rPr>
            </w:pPr>
            <w:r>
              <w:rPr>
                <w:color w:val="000000"/>
                <w:sz w:val="20"/>
                <w:szCs w:val="20"/>
                <w:lang w:eastAsia="en-GB"/>
              </w:rPr>
              <w:t>Mean</w:t>
            </w:r>
          </w:p>
        </w:tc>
        <w:tc>
          <w:tcPr>
            <w:tcW w:w="1984"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center"/>
            <w:hideMark/>
          </w:tcPr>
          <w:p w14:paraId="757F48F9" w14:textId="77777777" w:rsidR="00F946C4" w:rsidRDefault="00F946C4">
            <w:pPr>
              <w:jc w:val="center"/>
              <w:rPr>
                <w:color w:val="000000"/>
                <w:sz w:val="20"/>
                <w:szCs w:val="20"/>
                <w:lang w:eastAsia="en-GB"/>
              </w:rPr>
            </w:pPr>
            <w:r>
              <w:rPr>
                <w:color w:val="000000"/>
                <w:sz w:val="20"/>
                <w:szCs w:val="20"/>
                <w:lang w:eastAsia="en-GB"/>
              </w:rPr>
              <w:t>Mean</w:t>
            </w:r>
          </w:p>
        </w:tc>
      </w:tr>
      <w:tr w:rsidR="00F946C4" w14:paraId="2E5F0666" w14:textId="77777777" w:rsidTr="002A54A1">
        <w:trPr>
          <w:trHeight w:val="154"/>
        </w:trPr>
        <w:tc>
          <w:tcPr>
            <w:tcW w:w="3819"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hideMark/>
          </w:tcPr>
          <w:p w14:paraId="61D86602" w14:textId="77777777" w:rsidR="00F946C4" w:rsidRDefault="00F946C4" w:rsidP="002A54A1">
            <w:pPr>
              <w:rPr>
                <w:sz w:val="20"/>
                <w:szCs w:val="20"/>
                <w:lang w:eastAsia="en-GB"/>
              </w:rPr>
            </w:pPr>
            <w:r>
              <w:rPr>
                <w:sz w:val="20"/>
                <w:szCs w:val="20"/>
                <w:lang w:eastAsia="en-GB"/>
              </w:rPr>
              <w:t>Av</w:t>
            </w:r>
            <w:r w:rsidR="002A54A1">
              <w:rPr>
                <w:sz w:val="20"/>
                <w:szCs w:val="20"/>
                <w:lang w:eastAsia="en-GB"/>
              </w:rPr>
              <w:t xml:space="preserve">erage </w:t>
            </w:r>
            <w:r>
              <w:rPr>
                <w:sz w:val="20"/>
                <w:szCs w:val="20"/>
                <w:lang w:eastAsia="en-GB"/>
              </w:rPr>
              <w:t>hourly pay </w:t>
            </w:r>
          </w:p>
        </w:tc>
        <w:tc>
          <w:tcPr>
            <w:tcW w:w="2268"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45CE38FC" w14:textId="77777777" w:rsidR="00F946C4" w:rsidRDefault="00F946C4">
            <w:pPr>
              <w:jc w:val="center"/>
              <w:rPr>
                <w:color w:val="000000"/>
                <w:sz w:val="20"/>
                <w:szCs w:val="20"/>
                <w:lang w:eastAsia="en-GB"/>
              </w:rPr>
            </w:pPr>
            <w:r>
              <w:rPr>
                <w:color w:val="000000"/>
                <w:sz w:val="20"/>
                <w:szCs w:val="20"/>
                <w:lang w:eastAsia="en-GB"/>
              </w:rPr>
              <w:t>Full-time</w:t>
            </w:r>
          </w:p>
        </w:tc>
        <w:tc>
          <w:tcPr>
            <w:tcW w:w="1701"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136D08B8" w14:textId="77777777" w:rsidR="00F946C4" w:rsidRDefault="00F946C4">
            <w:pPr>
              <w:jc w:val="center"/>
              <w:rPr>
                <w:color w:val="000000"/>
                <w:sz w:val="20"/>
                <w:szCs w:val="20"/>
                <w:lang w:eastAsia="en-GB"/>
              </w:rPr>
            </w:pPr>
            <w:r>
              <w:rPr>
                <w:color w:val="000000"/>
                <w:sz w:val="20"/>
                <w:szCs w:val="20"/>
                <w:lang w:eastAsia="en-GB"/>
              </w:rPr>
              <w:t>Part-time</w:t>
            </w:r>
          </w:p>
        </w:tc>
        <w:tc>
          <w:tcPr>
            <w:tcW w:w="1984"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58F44745" w14:textId="77777777" w:rsidR="00F946C4" w:rsidRDefault="00F946C4">
            <w:pPr>
              <w:jc w:val="center"/>
              <w:rPr>
                <w:color w:val="000000"/>
                <w:sz w:val="20"/>
                <w:szCs w:val="20"/>
                <w:lang w:eastAsia="en-GB"/>
              </w:rPr>
            </w:pPr>
            <w:r>
              <w:rPr>
                <w:color w:val="000000"/>
                <w:sz w:val="20"/>
                <w:szCs w:val="20"/>
                <w:lang w:eastAsia="en-GB"/>
              </w:rPr>
              <w:t>All</w:t>
            </w:r>
          </w:p>
        </w:tc>
      </w:tr>
      <w:tr w:rsidR="00F946C4" w14:paraId="43E621B0" w14:textId="77777777" w:rsidTr="002A54A1">
        <w:trPr>
          <w:trHeight w:val="255"/>
        </w:trPr>
        <w:tc>
          <w:tcPr>
            <w:tcW w:w="3819"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hideMark/>
          </w:tcPr>
          <w:p w14:paraId="0E8532DA" w14:textId="77777777" w:rsidR="00F946C4" w:rsidRDefault="00F946C4">
            <w:pPr>
              <w:rPr>
                <w:color w:val="000000"/>
                <w:sz w:val="20"/>
                <w:szCs w:val="20"/>
                <w:lang w:eastAsia="en-GB"/>
              </w:rPr>
            </w:pPr>
            <w:r>
              <w:rPr>
                <w:color w:val="000000"/>
                <w:sz w:val="20"/>
                <w:szCs w:val="20"/>
                <w:lang w:eastAsia="en-GB"/>
              </w:rPr>
              <w:t>Male </w:t>
            </w:r>
          </w:p>
        </w:tc>
        <w:tc>
          <w:tcPr>
            <w:tcW w:w="2268"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26FC86BA" w14:textId="3AF19D09" w:rsidR="00F946C4" w:rsidRDefault="00F946C4">
            <w:pPr>
              <w:jc w:val="right"/>
              <w:rPr>
                <w:color w:val="000000"/>
                <w:sz w:val="20"/>
                <w:szCs w:val="20"/>
                <w:lang w:eastAsia="en-GB"/>
              </w:rPr>
            </w:pPr>
            <w:r>
              <w:rPr>
                <w:color w:val="000000"/>
                <w:sz w:val="20"/>
                <w:szCs w:val="20"/>
                <w:lang w:eastAsia="en-GB"/>
              </w:rPr>
              <w:t>£</w:t>
            </w:r>
            <w:r w:rsidR="0080096C">
              <w:rPr>
                <w:color w:val="000000"/>
                <w:sz w:val="20"/>
                <w:szCs w:val="20"/>
                <w:lang w:eastAsia="en-GB"/>
              </w:rPr>
              <w:t>15.61</w:t>
            </w:r>
            <w:r>
              <w:rPr>
                <w:color w:val="000000"/>
                <w:sz w:val="20"/>
                <w:szCs w:val="20"/>
                <w:lang w:eastAsia="en-GB"/>
              </w:rPr>
              <w:t xml:space="preserve"> </w:t>
            </w:r>
          </w:p>
        </w:tc>
        <w:tc>
          <w:tcPr>
            <w:tcW w:w="1701"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40C94385" w14:textId="0A782B4F" w:rsidR="00F946C4" w:rsidRDefault="00F946C4">
            <w:pPr>
              <w:jc w:val="right"/>
              <w:rPr>
                <w:color w:val="000000"/>
                <w:sz w:val="20"/>
                <w:szCs w:val="20"/>
                <w:lang w:eastAsia="en-GB"/>
              </w:rPr>
            </w:pPr>
            <w:r>
              <w:rPr>
                <w:color w:val="000000"/>
                <w:sz w:val="20"/>
                <w:szCs w:val="20"/>
                <w:lang w:eastAsia="en-GB"/>
              </w:rPr>
              <w:t> £</w:t>
            </w:r>
            <w:r w:rsidR="00547543">
              <w:rPr>
                <w:color w:val="000000"/>
                <w:sz w:val="20"/>
                <w:szCs w:val="20"/>
                <w:lang w:eastAsia="en-GB"/>
              </w:rPr>
              <w:t>12.74</w:t>
            </w:r>
          </w:p>
        </w:tc>
        <w:tc>
          <w:tcPr>
            <w:tcW w:w="1984"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043016C4" w14:textId="076EE0A4" w:rsidR="00F946C4" w:rsidRDefault="00F946C4">
            <w:pPr>
              <w:jc w:val="right"/>
              <w:rPr>
                <w:color w:val="000000"/>
                <w:sz w:val="20"/>
                <w:szCs w:val="20"/>
                <w:lang w:eastAsia="en-GB"/>
              </w:rPr>
            </w:pPr>
            <w:r>
              <w:rPr>
                <w:color w:val="000000"/>
                <w:sz w:val="20"/>
                <w:szCs w:val="20"/>
                <w:lang w:eastAsia="en-GB"/>
              </w:rPr>
              <w:t> £</w:t>
            </w:r>
            <w:r w:rsidR="00E836ED">
              <w:rPr>
                <w:color w:val="000000"/>
                <w:sz w:val="20"/>
                <w:szCs w:val="20"/>
                <w:lang w:eastAsia="en-GB"/>
              </w:rPr>
              <w:t>15.17</w:t>
            </w:r>
            <w:r>
              <w:rPr>
                <w:color w:val="000000"/>
                <w:sz w:val="20"/>
                <w:szCs w:val="20"/>
                <w:lang w:eastAsia="en-GB"/>
              </w:rPr>
              <w:t xml:space="preserve"> </w:t>
            </w:r>
          </w:p>
        </w:tc>
      </w:tr>
      <w:tr w:rsidR="00F946C4" w14:paraId="648A81DA" w14:textId="77777777" w:rsidTr="002A54A1">
        <w:trPr>
          <w:trHeight w:val="255"/>
        </w:trPr>
        <w:tc>
          <w:tcPr>
            <w:tcW w:w="3819"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hideMark/>
          </w:tcPr>
          <w:p w14:paraId="6EA73786" w14:textId="77777777" w:rsidR="00F946C4" w:rsidRDefault="00F946C4">
            <w:pPr>
              <w:rPr>
                <w:color w:val="000000"/>
                <w:sz w:val="20"/>
                <w:szCs w:val="20"/>
                <w:lang w:eastAsia="en-GB"/>
              </w:rPr>
            </w:pPr>
            <w:r>
              <w:rPr>
                <w:color w:val="000000"/>
                <w:sz w:val="20"/>
                <w:szCs w:val="20"/>
                <w:lang w:eastAsia="en-GB"/>
              </w:rPr>
              <w:t>Female </w:t>
            </w:r>
          </w:p>
        </w:tc>
        <w:tc>
          <w:tcPr>
            <w:tcW w:w="2268"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200A00AC" w14:textId="41E5F217" w:rsidR="00F946C4" w:rsidRDefault="00F946C4">
            <w:pPr>
              <w:jc w:val="right"/>
              <w:rPr>
                <w:color w:val="000000"/>
                <w:sz w:val="20"/>
                <w:szCs w:val="20"/>
                <w:lang w:eastAsia="en-GB"/>
              </w:rPr>
            </w:pPr>
            <w:r>
              <w:rPr>
                <w:color w:val="000000"/>
                <w:sz w:val="20"/>
                <w:szCs w:val="20"/>
                <w:lang w:eastAsia="en-GB"/>
              </w:rPr>
              <w:t>£</w:t>
            </w:r>
            <w:r w:rsidR="0080096C">
              <w:rPr>
                <w:color w:val="000000"/>
                <w:sz w:val="20"/>
                <w:szCs w:val="20"/>
                <w:lang w:eastAsia="en-GB"/>
              </w:rPr>
              <w:t>17.45</w:t>
            </w:r>
            <w:r>
              <w:rPr>
                <w:color w:val="000000"/>
                <w:sz w:val="20"/>
                <w:szCs w:val="20"/>
                <w:lang w:eastAsia="en-GB"/>
              </w:rPr>
              <w:t xml:space="preserve"> </w:t>
            </w:r>
          </w:p>
        </w:tc>
        <w:tc>
          <w:tcPr>
            <w:tcW w:w="1701"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3AC89D07" w14:textId="7AE84213" w:rsidR="00F946C4" w:rsidRDefault="00F946C4">
            <w:pPr>
              <w:jc w:val="right"/>
              <w:rPr>
                <w:color w:val="000000"/>
                <w:sz w:val="20"/>
                <w:szCs w:val="20"/>
                <w:lang w:eastAsia="en-GB"/>
              </w:rPr>
            </w:pPr>
            <w:r>
              <w:rPr>
                <w:color w:val="000000"/>
                <w:sz w:val="20"/>
                <w:szCs w:val="20"/>
                <w:lang w:eastAsia="en-GB"/>
              </w:rPr>
              <w:t> </w:t>
            </w:r>
            <w:r w:rsidR="00547543">
              <w:rPr>
                <w:color w:val="000000"/>
                <w:sz w:val="20"/>
                <w:szCs w:val="20"/>
                <w:lang w:eastAsia="en-GB"/>
              </w:rPr>
              <w:t>£12.85</w:t>
            </w:r>
            <w:r>
              <w:rPr>
                <w:color w:val="000000"/>
                <w:sz w:val="20"/>
                <w:szCs w:val="20"/>
                <w:lang w:eastAsia="en-GB"/>
              </w:rPr>
              <w:t xml:space="preserve"> </w:t>
            </w:r>
          </w:p>
        </w:tc>
        <w:tc>
          <w:tcPr>
            <w:tcW w:w="1984"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3D3CE784" w14:textId="653BD5BD" w:rsidR="00F946C4" w:rsidRDefault="00F946C4">
            <w:pPr>
              <w:jc w:val="right"/>
              <w:rPr>
                <w:color w:val="000000"/>
                <w:sz w:val="20"/>
                <w:szCs w:val="20"/>
                <w:lang w:eastAsia="en-GB"/>
              </w:rPr>
            </w:pPr>
            <w:r>
              <w:rPr>
                <w:color w:val="000000"/>
                <w:sz w:val="20"/>
                <w:szCs w:val="20"/>
                <w:lang w:eastAsia="en-GB"/>
              </w:rPr>
              <w:t> £</w:t>
            </w:r>
            <w:r w:rsidR="00E836ED">
              <w:rPr>
                <w:color w:val="000000"/>
                <w:sz w:val="20"/>
                <w:szCs w:val="20"/>
                <w:lang w:eastAsia="en-GB"/>
              </w:rPr>
              <w:t>14.87</w:t>
            </w:r>
            <w:r>
              <w:rPr>
                <w:color w:val="000000"/>
                <w:sz w:val="20"/>
                <w:szCs w:val="20"/>
                <w:lang w:eastAsia="en-GB"/>
              </w:rPr>
              <w:t xml:space="preserve"> </w:t>
            </w:r>
          </w:p>
        </w:tc>
      </w:tr>
      <w:tr w:rsidR="0009652B" w:rsidRPr="0009652B" w14:paraId="23AD389A" w14:textId="77777777" w:rsidTr="002A54A1">
        <w:trPr>
          <w:trHeight w:val="43"/>
        </w:trPr>
        <w:tc>
          <w:tcPr>
            <w:tcW w:w="3819"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hideMark/>
          </w:tcPr>
          <w:p w14:paraId="30A46C4D" w14:textId="77777777" w:rsidR="00F946C4" w:rsidRDefault="00F946C4">
            <w:pPr>
              <w:rPr>
                <w:color w:val="000000"/>
                <w:sz w:val="20"/>
                <w:szCs w:val="20"/>
                <w:lang w:eastAsia="en-GB"/>
              </w:rPr>
            </w:pPr>
            <w:r>
              <w:rPr>
                <w:color w:val="000000"/>
                <w:sz w:val="20"/>
                <w:szCs w:val="20"/>
                <w:lang w:eastAsia="en-GB"/>
              </w:rPr>
              <w:t>Pay Gap % </w:t>
            </w:r>
          </w:p>
        </w:tc>
        <w:tc>
          <w:tcPr>
            <w:tcW w:w="2268"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2EDB933A" w14:textId="7CBC6C13" w:rsidR="00F946C4" w:rsidRDefault="00CF6C89">
            <w:pPr>
              <w:jc w:val="right"/>
              <w:rPr>
                <w:color w:val="000000"/>
                <w:sz w:val="20"/>
                <w:szCs w:val="20"/>
                <w:lang w:eastAsia="en-GB"/>
              </w:rPr>
            </w:pPr>
            <w:r>
              <w:rPr>
                <w:color w:val="000000"/>
                <w:sz w:val="20"/>
                <w:szCs w:val="20"/>
                <w:lang w:eastAsia="en-GB"/>
              </w:rPr>
              <w:t>-10.55%</w:t>
            </w:r>
          </w:p>
        </w:tc>
        <w:tc>
          <w:tcPr>
            <w:tcW w:w="1701"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38ABD5F6" w14:textId="39F0CDEC" w:rsidR="00F946C4" w:rsidRDefault="009B16EF">
            <w:pPr>
              <w:jc w:val="right"/>
              <w:rPr>
                <w:color w:val="000000"/>
                <w:sz w:val="20"/>
                <w:szCs w:val="20"/>
                <w:lang w:eastAsia="en-GB"/>
              </w:rPr>
            </w:pPr>
            <w:r>
              <w:rPr>
                <w:color w:val="000000"/>
                <w:sz w:val="20"/>
                <w:szCs w:val="20"/>
                <w:lang w:eastAsia="en-GB"/>
              </w:rPr>
              <w:t>-0.86%</w:t>
            </w:r>
          </w:p>
        </w:tc>
        <w:tc>
          <w:tcPr>
            <w:tcW w:w="1984"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333C198E" w14:textId="7671A991" w:rsidR="00F946C4" w:rsidRPr="0009652B" w:rsidRDefault="00FC37E1">
            <w:pPr>
              <w:jc w:val="right"/>
              <w:rPr>
                <w:sz w:val="20"/>
                <w:szCs w:val="20"/>
                <w:lang w:eastAsia="en-GB"/>
              </w:rPr>
            </w:pPr>
            <w:r>
              <w:rPr>
                <w:sz w:val="20"/>
                <w:szCs w:val="20"/>
                <w:lang w:eastAsia="en-GB"/>
              </w:rPr>
              <w:t>2.01%</w:t>
            </w:r>
          </w:p>
        </w:tc>
      </w:tr>
    </w:tbl>
    <w:p w14:paraId="3290899C" w14:textId="77777777" w:rsidR="00E701E0" w:rsidRDefault="00E701E0">
      <w:pPr>
        <w:jc w:val="right"/>
        <w:sectPr w:rsidR="00E701E0" w:rsidSect="00364068">
          <w:pgSz w:w="11910" w:h="16840"/>
          <w:pgMar w:top="1340" w:right="960" w:bottom="280" w:left="980" w:header="720" w:footer="720" w:gutter="0"/>
          <w:cols w:space="720"/>
        </w:sectPr>
      </w:pPr>
    </w:p>
    <w:p w14:paraId="6DFBFE76" w14:textId="7856B2A9" w:rsidR="00E701E0" w:rsidRDefault="003037AA">
      <w:pPr>
        <w:spacing w:before="79"/>
        <w:ind w:left="100"/>
        <w:rPr>
          <w:b/>
          <w:sz w:val="24"/>
        </w:rPr>
      </w:pPr>
      <w:r>
        <w:rPr>
          <w:b/>
          <w:sz w:val="24"/>
        </w:rPr>
        <w:lastRenderedPageBreak/>
        <w:t>Median hourly pay</w:t>
      </w:r>
      <w:r w:rsidR="003D2781">
        <w:rPr>
          <w:b/>
          <w:sz w:val="24"/>
        </w:rPr>
        <w:t xml:space="preserve"> (31</w:t>
      </w:r>
      <w:r w:rsidR="003D2781" w:rsidRPr="003D2781">
        <w:rPr>
          <w:b/>
          <w:sz w:val="24"/>
          <w:vertAlign w:val="superscript"/>
        </w:rPr>
        <w:t>st</w:t>
      </w:r>
      <w:r w:rsidR="003D2781">
        <w:rPr>
          <w:b/>
          <w:sz w:val="24"/>
        </w:rPr>
        <w:t xml:space="preserve"> March 202</w:t>
      </w:r>
      <w:r w:rsidR="00FC37E1">
        <w:rPr>
          <w:b/>
          <w:sz w:val="24"/>
        </w:rPr>
        <w:t>3</w:t>
      </w:r>
      <w:r w:rsidR="003D2781">
        <w:rPr>
          <w:b/>
          <w:sz w:val="24"/>
        </w:rPr>
        <w:t xml:space="preserve">) </w:t>
      </w:r>
    </w:p>
    <w:p w14:paraId="775DD812" w14:textId="77777777" w:rsidR="002A54A1" w:rsidRDefault="002A54A1">
      <w:pPr>
        <w:spacing w:before="79"/>
        <w:ind w:left="100"/>
        <w:rPr>
          <w:b/>
          <w:sz w:val="24"/>
        </w:rPr>
      </w:pPr>
    </w:p>
    <w:tbl>
      <w:tblPr>
        <w:tblW w:w="9772" w:type="dxa"/>
        <w:tblInd w:w="-1" w:type="dxa"/>
        <w:tblCellMar>
          <w:left w:w="0" w:type="dxa"/>
          <w:right w:w="0" w:type="dxa"/>
        </w:tblCellMar>
        <w:tblLook w:val="04A0" w:firstRow="1" w:lastRow="0" w:firstColumn="1" w:lastColumn="0" w:noHBand="0" w:noVBand="1"/>
      </w:tblPr>
      <w:tblGrid>
        <w:gridCol w:w="1968"/>
        <w:gridCol w:w="3552"/>
        <w:gridCol w:w="1984"/>
        <w:gridCol w:w="2268"/>
      </w:tblGrid>
      <w:tr w:rsidR="002A54A1" w14:paraId="14423A28" w14:textId="77777777" w:rsidTr="002A54A1">
        <w:trPr>
          <w:trHeight w:val="255"/>
        </w:trPr>
        <w:tc>
          <w:tcPr>
            <w:tcW w:w="1968"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hideMark/>
          </w:tcPr>
          <w:p w14:paraId="66371742" w14:textId="77777777" w:rsidR="002A54A1" w:rsidRDefault="002A54A1">
            <w:pPr>
              <w:rPr>
                <w:rFonts w:ascii="Times New Roman" w:eastAsia="Times New Roman" w:hAnsi="Times New Roman" w:cs="Times New Roman"/>
              </w:rPr>
            </w:pPr>
          </w:p>
        </w:tc>
        <w:tc>
          <w:tcPr>
            <w:tcW w:w="3552"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center"/>
            <w:hideMark/>
          </w:tcPr>
          <w:p w14:paraId="6A842E65" w14:textId="77777777" w:rsidR="002A54A1" w:rsidRDefault="002A54A1">
            <w:pPr>
              <w:jc w:val="center"/>
              <w:rPr>
                <w:rFonts w:eastAsiaTheme="minorHAnsi"/>
                <w:color w:val="000000"/>
                <w:sz w:val="20"/>
                <w:szCs w:val="20"/>
                <w:lang w:eastAsia="en-GB"/>
              </w:rPr>
            </w:pPr>
            <w:r>
              <w:rPr>
                <w:color w:val="000000"/>
                <w:sz w:val="20"/>
                <w:szCs w:val="20"/>
                <w:lang w:eastAsia="en-GB"/>
              </w:rPr>
              <w:t>Median</w:t>
            </w:r>
          </w:p>
        </w:tc>
        <w:tc>
          <w:tcPr>
            <w:tcW w:w="1984"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center"/>
            <w:hideMark/>
          </w:tcPr>
          <w:p w14:paraId="6BF4B659" w14:textId="77777777" w:rsidR="002A54A1" w:rsidRDefault="002A54A1">
            <w:pPr>
              <w:jc w:val="center"/>
              <w:rPr>
                <w:color w:val="000000"/>
                <w:sz w:val="20"/>
                <w:szCs w:val="20"/>
                <w:lang w:eastAsia="en-GB"/>
              </w:rPr>
            </w:pPr>
            <w:r>
              <w:rPr>
                <w:color w:val="000000"/>
                <w:sz w:val="20"/>
                <w:szCs w:val="20"/>
                <w:lang w:eastAsia="en-GB"/>
              </w:rPr>
              <w:t>Median</w:t>
            </w:r>
          </w:p>
        </w:tc>
        <w:tc>
          <w:tcPr>
            <w:tcW w:w="2268"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center"/>
            <w:hideMark/>
          </w:tcPr>
          <w:p w14:paraId="2604767C" w14:textId="77777777" w:rsidR="002A54A1" w:rsidRDefault="002A54A1">
            <w:pPr>
              <w:jc w:val="center"/>
              <w:rPr>
                <w:color w:val="000000"/>
                <w:sz w:val="20"/>
                <w:szCs w:val="20"/>
                <w:lang w:eastAsia="en-GB"/>
              </w:rPr>
            </w:pPr>
            <w:r>
              <w:rPr>
                <w:color w:val="000000"/>
                <w:sz w:val="20"/>
                <w:szCs w:val="20"/>
                <w:lang w:eastAsia="en-GB"/>
              </w:rPr>
              <w:t>Median</w:t>
            </w:r>
          </w:p>
        </w:tc>
      </w:tr>
      <w:tr w:rsidR="002A54A1" w14:paraId="00A0808D" w14:textId="77777777" w:rsidTr="002A54A1">
        <w:trPr>
          <w:trHeight w:val="198"/>
        </w:trPr>
        <w:tc>
          <w:tcPr>
            <w:tcW w:w="1968" w:type="dxa"/>
            <w:tcBorders>
              <w:top w:val="nil"/>
              <w:left w:val="single" w:sz="8" w:space="0" w:color="auto"/>
              <w:bottom w:val="single" w:sz="8" w:space="0" w:color="auto"/>
              <w:right w:val="single" w:sz="8" w:space="0" w:color="auto"/>
            </w:tcBorders>
            <w:tcMar>
              <w:top w:w="15" w:type="dxa"/>
              <w:left w:w="108" w:type="dxa"/>
              <w:bottom w:w="15" w:type="dxa"/>
              <w:right w:w="108" w:type="dxa"/>
            </w:tcMar>
            <w:hideMark/>
          </w:tcPr>
          <w:p w14:paraId="4BBDD278" w14:textId="77777777" w:rsidR="002A54A1" w:rsidRDefault="002A54A1">
            <w:pPr>
              <w:rPr>
                <w:sz w:val="20"/>
                <w:szCs w:val="20"/>
                <w:lang w:eastAsia="en-GB"/>
              </w:rPr>
            </w:pPr>
            <w:r>
              <w:rPr>
                <w:sz w:val="20"/>
                <w:szCs w:val="20"/>
                <w:lang w:eastAsia="en-GB"/>
              </w:rPr>
              <w:t>Median hourly pay  </w:t>
            </w:r>
          </w:p>
        </w:tc>
        <w:tc>
          <w:tcPr>
            <w:tcW w:w="3552"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4C401970" w14:textId="77777777" w:rsidR="002A54A1" w:rsidRDefault="002A54A1">
            <w:pPr>
              <w:jc w:val="center"/>
              <w:rPr>
                <w:color w:val="000000"/>
                <w:sz w:val="20"/>
                <w:szCs w:val="20"/>
                <w:lang w:eastAsia="en-GB"/>
              </w:rPr>
            </w:pPr>
            <w:r>
              <w:rPr>
                <w:color w:val="000000"/>
                <w:sz w:val="20"/>
                <w:szCs w:val="20"/>
                <w:lang w:eastAsia="en-GB"/>
              </w:rPr>
              <w:t>Full-time</w:t>
            </w:r>
          </w:p>
        </w:tc>
        <w:tc>
          <w:tcPr>
            <w:tcW w:w="1984"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521CC157" w14:textId="77777777" w:rsidR="002A54A1" w:rsidRDefault="002A54A1">
            <w:pPr>
              <w:jc w:val="center"/>
              <w:rPr>
                <w:color w:val="000000"/>
                <w:sz w:val="20"/>
                <w:szCs w:val="20"/>
                <w:lang w:eastAsia="en-GB"/>
              </w:rPr>
            </w:pPr>
            <w:r>
              <w:rPr>
                <w:color w:val="000000"/>
                <w:sz w:val="20"/>
                <w:szCs w:val="20"/>
                <w:lang w:eastAsia="en-GB"/>
              </w:rPr>
              <w:t>Part-time</w:t>
            </w:r>
          </w:p>
        </w:tc>
        <w:tc>
          <w:tcPr>
            <w:tcW w:w="2268"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343216C6" w14:textId="77777777" w:rsidR="002A54A1" w:rsidRDefault="002A54A1">
            <w:pPr>
              <w:jc w:val="center"/>
              <w:rPr>
                <w:color w:val="000000"/>
                <w:sz w:val="20"/>
                <w:szCs w:val="20"/>
                <w:lang w:eastAsia="en-GB"/>
              </w:rPr>
            </w:pPr>
            <w:r>
              <w:rPr>
                <w:color w:val="000000"/>
                <w:sz w:val="20"/>
                <w:szCs w:val="20"/>
                <w:lang w:eastAsia="en-GB"/>
              </w:rPr>
              <w:t>All</w:t>
            </w:r>
          </w:p>
        </w:tc>
      </w:tr>
      <w:tr w:rsidR="002A54A1" w14:paraId="5DB02F6E" w14:textId="77777777" w:rsidTr="002A54A1">
        <w:trPr>
          <w:trHeight w:val="255"/>
        </w:trPr>
        <w:tc>
          <w:tcPr>
            <w:tcW w:w="196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hideMark/>
          </w:tcPr>
          <w:p w14:paraId="287053CD" w14:textId="77777777" w:rsidR="002A54A1" w:rsidRDefault="002A54A1">
            <w:pPr>
              <w:rPr>
                <w:color w:val="000000"/>
                <w:sz w:val="20"/>
                <w:szCs w:val="20"/>
                <w:lang w:eastAsia="en-GB"/>
              </w:rPr>
            </w:pPr>
            <w:r>
              <w:rPr>
                <w:color w:val="000000"/>
                <w:sz w:val="20"/>
                <w:szCs w:val="20"/>
                <w:lang w:eastAsia="en-GB"/>
              </w:rPr>
              <w:t>Male </w:t>
            </w:r>
          </w:p>
        </w:tc>
        <w:tc>
          <w:tcPr>
            <w:tcW w:w="3552"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784BAA40" w14:textId="7B4FE53B" w:rsidR="002A54A1" w:rsidRDefault="002A54A1">
            <w:pPr>
              <w:jc w:val="right"/>
              <w:rPr>
                <w:color w:val="000000"/>
                <w:sz w:val="20"/>
                <w:szCs w:val="20"/>
                <w:lang w:eastAsia="en-GB"/>
              </w:rPr>
            </w:pPr>
            <w:r>
              <w:rPr>
                <w:color w:val="000000"/>
                <w:sz w:val="20"/>
                <w:szCs w:val="20"/>
                <w:lang w:eastAsia="en-GB"/>
              </w:rPr>
              <w:t>£1</w:t>
            </w:r>
            <w:r w:rsidR="00A817DB">
              <w:rPr>
                <w:color w:val="000000"/>
                <w:sz w:val="20"/>
                <w:szCs w:val="20"/>
                <w:lang w:eastAsia="en-GB"/>
              </w:rPr>
              <w:t>5.25</w:t>
            </w:r>
            <w:r>
              <w:rPr>
                <w:color w:val="000000"/>
                <w:sz w:val="20"/>
                <w:szCs w:val="20"/>
                <w:lang w:eastAsia="en-GB"/>
              </w:rPr>
              <w:t xml:space="preserve"> </w:t>
            </w:r>
          </w:p>
        </w:tc>
        <w:tc>
          <w:tcPr>
            <w:tcW w:w="1984"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09CF493C" w14:textId="02931572" w:rsidR="002A54A1" w:rsidRDefault="002A54A1">
            <w:pPr>
              <w:jc w:val="right"/>
              <w:rPr>
                <w:color w:val="000000"/>
                <w:sz w:val="20"/>
                <w:szCs w:val="20"/>
                <w:lang w:eastAsia="en-GB"/>
              </w:rPr>
            </w:pPr>
            <w:r>
              <w:rPr>
                <w:color w:val="000000"/>
                <w:sz w:val="20"/>
                <w:szCs w:val="20"/>
                <w:lang w:eastAsia="en-GB"/>
              </w:rPr>
              <w:t> £1</w:t>
            </w:r>
            <w:r w:rsidR="00D114D1">
              <w:rPr>
                <w:color w:val="000000"/>
                <w:sz w:val="20"/>
                <w:szCs w:val="20"/>
                <w:lang w:eastAsia="en-GB"/>
              </w:rPr>
              <w:t>1.38</w:t>
            </w:r>
            <w:r>
              <w:rPr>
                <w:color w:val="000000"/>
                <w:sz w:val="20"/>
                <w:szCs w:val="20"/>
                <w:lang w:eastAsia="en-GB"/>
              </w:rPr>
              <w:t xml:space="preserve"> </w:t>
            </w:r>
          </w:p>
        </w:tc>
        <w:tc>
          <w:tcPr>
            <w:tcW w:w="2268"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703934EC" w14:textId="7AEFE2B6" w:rsidR="002A54A1" w:rsidRDefault="002A54A1">
            <w:pPr>
              <w:jc w:val="right"/>
              <w:rPr>
                <w:color w:val="000000"/>
                <w:sz w:val="20"/>
                <w:szCs w:val="20"/>
                <w:lang w:eastAsia="en-GB"/>
              </w:rPr>
            </w:pPr>
            <w:r>
              <w:rPr>
                <w:color w:val="000000"/>
                <w:sz w:val="20"/>
                <w:szCs w:val="20"/>
                <w:lang w:eastAsia="en-GB"/>
              </w:rPr>
              <w:t> £1</w:t>
            </w:r>
            <w:r w:rsidR="004B23B8">
              <w:rPr>
                <w:color w:val="000000"/>
                <w:sz w:val="20"/>
                <w:szCs w:val="20"/>
                <w:lang w:eastAsia="en-GB"/>
              </w:rPr>
              <w:t>4.</w:t>
            </w:r>
            <w:r w:rsidR="007F352A">
              <w:rPr>
                <w:color w:val="000000"/>
                <w:sz w:val="20"/>
                <w:szCs w:val="20"/>
                <w:lang w:eastAsia="en-GB"/>
              </w:rPr>
              <w:t>43</w:t>
            </w:r>
            <w:r>
              <w:rPr>
                <w:color w:val="000000"/>
                <w:sz w:val="20"/>
                <w:szCs w:val="20"/>
                <w:lang w:eastAsia="en-GB"/>
              </w:rPr>
              <w:t xml:space="preserve"> </w:t>
            </w:r>
          </w:p>
        </w:tc>
      </w:tr>
      <w:tr w:rsidR="002A54A1" w14:paraId="706AC94D" w14:textId="77777777" w:rsidTr="002A54A1">
        <w:trPr>
          <w:trHeight w:val="255"/>
        </w:trPr>
        <w:tc>
          <w:tcPr>
            <w:tcW w:w="196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hideMark/>
          </w:tcPr>
          <w:p w14:paraId="4B1865CD" w14:textId="77777777" w:rsidR="002A54A1" w:rsidRDefault="002A54A1">
            <w:pPr>
              <w:rPr>
                <w:color w:val="000000"/>
                <w:sz w:val="20"/>
                <w:szCs w:val="20"/>
                <w:lang w:eastAsia="en-GB"/>
              </w:rPr>
            </w:pPr>
            <w:r>
              <w:rPr>
                <w:color w:val="000000"/>
                <w:sz w:val="20"/>
                <w:szCs w:val="20"/>
                <w:lang w:eastAsia="en-GB"/>
              </w:rPr>
              <w:t>Female </w:t>
            </w:r>
          </w:p>
        </w:tc>
        <w:tc>
          <w:tcPr>
            <w:tcW w:w="3552"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02065752" w14:textId="4CCD459B" w:rsidR="002A54A1" w:rsidRDefault="002A54A1">
            <w:pPr>
              <w:jc w:val="right"/>
              <w:rPr>
                <w:color w:val="000000"/>
                <w:sz w:val="20"/>
                <w:szCs w:val="20"/>
                <w:lang w:eastAsia="en-GB"/>
              </w:rPr>
            </w:pPr>
            <w:r>
              <w:rPr>
                <w:color w:val="000000"/>
                <w:sz w:val="20"/>
                <w:szCs w:val="20"/>
                <w:lang w:eastAsia="en-GB"/>
              </w:rPr>
              <w:t>£1</w:t>
            </w:r>
            <w:r w:rsidR="00A817DB">
              <w:rPr>
                <w:color w:val="000000"/>
                <w:sz w:val="20"/>
                <w:szCs w:val="20"/>
                <w:lang w:eastAsia="en-GB"/>
              </w:rPr>
              <w:t>6.11</w:t>
            </w:r>
            <w:r>
              <w:rPr>
                <w:color w:val="000000"/>
                <w:sz w:val="20"/>
                <w:szCs w:val="20"/>
                <w:lang w:eastAsia="en-GB"/>
              </w:rPr>
              <w:t xml:space="preserve"> </w:t>
            </w:r>
          </w:p>
        </w:tc>
        <w:tc>
          <w:tcPr>
            <w:tcW w:w="1984"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4850A334" w14:textId="71C996CE" w:rsidR="002A54A1" w:rsidRDefault="002A54A1">
            <w:pPr>
              <w:jc w:val="right"/>
              <w:rPr>
                <w:color w:val="000000"/>
                <w:sz w:val="20"/>
                <w:szCs w:val="20"/>
                <w:lang w:eastAsia="en-GB"/>
              </w:rPr>
            </w:pPr>
            <w:r>
              <w:rPr>
                <w:color w:val="000000"/>
                <w:sz w:val="20"/>
                <w:szCs w:val="20"/>
                <w:lang w:eastAsia="en-GB"/>
              </w:rPr>
              <w:t> £1</w:t>
            </w:r>
            <w:r w:rsidR="00D114D1">
              <w:rPr>
                <w:color w:val="000000"/>
                <w:sz w:val="20"/>
                <w:szCs w:val="20"/>
                <w:lang w:eastAsia="en-GB"/>
              </w:rPr>
              <w:t>1.80</w:t>
            </w:r>
            <w:r>
              <w:rPr>
                <w:color w:val="000000"/>
                <w:sz w:val="20"/>
                <w:szCs w:val="20"/>
                <w:lang w:eastAsia="en-GB"/>
              </w:rPr>
              <w:t xml:space="preserve"> </w:t>
            </w:r>
          </w:p>
        </w:tc>
        <w:tc>
          <w:tcPr>
            <w:tcW w:w="2268"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5891E77F" w14:textId="3DFC74A7" w:rsidR="002A54A1" w:rsidRDefault="002A54A1">
            <w:pPr>
              <w:jc w:val="right"/>
              <w:rPr>
                <w:color w:val="000000"/>
                <w:sz w:val="20"/>
                <w:szCs w:val="20"/>
                <w:lang w:eastAsia="en-GB"/>
              </w:rPr>
            </w:pPr>
            <w:r>
              <w:rPr>
                <w:color w:val="000000"/>
                <w:sz w:val="20"/>
                <w:szCs w:val="20"/>
                <w:lang w:eastAsia="en-GB"/>
              </w:rPr>
              <w:t> £1</w:t>
            </w:r>
            <w:r w:rsidR="007F352A">
              <w:rPr>
                <w:color w:val="000000"/>
                <w:sz w:val="20"/>
                <w:szCs w:val="20"/>
                <w:lang w:eastAsia="en-GB"/>
              </w:rPr>
              <w:t>3.91</w:t>
            </w:r>
            <w:r>
              <w:rPr>
                <w:color w:val="000000"/>
                <w:sz w:val="20"/>
                <w:szCs w:val="20"/>
                <w:lang w:eastAsia="en-GB"/>
              </w:rPr>
              <w:t xml:space="preserve"> </w:t>
            </w:r>
          </w:p>
        </w:tc>
      </w:tr>
      <w:tr w:rsidR="002A54A1" w14:paraId="5268D23D" w14:textId="77777777" w:rsidTr="002A54A1">
        <w:trPr>
          <w:trHeight w:val="111"/>
        </w:trPr>
        <w:tc>
          <w:tcPr>
            <w:tcW w:w="196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hideMark/>
          </w:tcPr>
          <w:p w14:paraId="4BB98AD4" w14:textId="77777777" w:rsidR="002A54A1" w:rsidRDefault="002A54A1">
            <w:pPr>
              <w:rPr>
                <w:color w:val="000000"/>
                <w:sz w:val="20"/>
                <w:szCs w:val="20"/>
                <w:lang w:eastAsia="en-GB"/>
              </w:rPr>
            </w:pPr>
            <w:r>
              <w:rPr>
                <w:color w:val="000000"/>
                <w:sz w:val="20"/>
                <w:szCs w:val="20"/>
                <w:lang w:eastAsia="en-GB"/>
              </w:rPr>
              <w:t>Pay Gap % </w:t>
            </w:r>
          </w:p>
        </w:tc>
        <w:tc>
          <w:tcPr>
            <w:tcW w:w="3552"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280FCA99" w14:textId="281E2FB1" w:rsidR="002A54A1" w:rsidRDefault="00750A63">
            <w:pPr>
              <w:jc w:val="right"/>
              <w:rPr>
                <w:color w:val="000000"/>
                <w:sz w:val="20"/>
                <w:szCs w:val="20"/>
                <w:lang w:eastAsia="en-GB"/>
              </w:rPr>
            </w:pPr>
            <w:r>
              <w:rPr>
                <w:color w:val="000000"/>
                <w:sz w:val="20"/>
                <w:szCs w:val="20"/>
                <w:lang w:eastAsia="en-GB"/>
              </w:rPr>
              <w:t>-5.34</w:t>
            </w:r>
            <w:r w:rsidR="002A54A1">
              <w:rPr>
                <w:color w:val="000000"/>
                <w:sz w:val="20"/>
                <w:szCs w:val="20"/>
                <w:lang w:eastAsia="en-GB"/>
              </w:rPr>
              <w:t>%</w:t>
            </w:r>
          </w:p>
        </w:tc>
        <w:tc>
          <w:tcPr>
            <w:tcW w:w="1984"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00DC126C" w14:textId="3022AA8C" w:rsidR="002A54A1" w:rsidRDefault="002A54A1">
            <w:pPr>
              <w:jc w:val="right"/>
              <w:rPr>
                <w:color w:val="000000"/>
                <w:sz w:val="20"/>
                <w:szCs w:val="20"/>
                <w:lang w:eastAsia="en-GB"/>
              </w:rPr>
            </w:pPr>
            <w:r>
              <w:rPr>
                <w:color w:val="000000"/>
                <w:sz w:val="20"/>
                <w:szCs w:val="20"/>
                <w:lang w:eastAsia="en-GB"/>
              </w:rPr>
              <w:t>-</w:t>
            </w:r>
            <w:r w:rsidR="00A7520B">
              <w:rPr>
                <w:color w:val="000000"/>
                <w:sz w:val="20"/>
                <w:szCs w:val="20"/>
                <w:lang w:eastAsia="en-GB"/>
              </w:rPr>
              <w:t>3.56%</w:t>
            </w:r>
          </w:p>
        </w:tc>
        <w:tc>
          <w:tcPr>
            <w:tcW w:w="2268"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15BB6D9D" w14:textId="7B995507" w:rsidR="002A54A1" w:rsidRDefault="00762988">
            <w:pPr>
              <w:jc w:val="right"/>
              <w:rPr>
                <w:color w:val="000000"/>
                <w:sz w:val="20"/>
                <w:szCs w:val="20"/>
                <w:lang w:eastAsia="en-GB"/>
              </w:rPr>
            </w:pPr>
            <w:r>
              <w:rPr>
                <w:sz w:val="20"/>
                <w:szCs w:val="20"/>
                <w:lang w:eastAsia="en-GB"/>
              </w:rPr>
              <w:t>3.73</w:t>
            </w:r>
            <w:r w:rsidR="002A54A1" w:rsidRPr="0009652B">
              <w:rPr>
                <w:sz w:val="20"/>
                <w:szCs w:val="20"/>
                <w:lang w:eastAsia="en-GB"/>
              </w:rPr>
              <w:t>%</w:t>
            </w:r>
          </w:p>
        </w:tc>
      </w:tr>
    </w:tbl>
    <w:p w14:paraId="0D3611E9" w14:textId="77777777" w:rsidR="00C02776" w:rsidRDefault="00C02776">
      <w:pPr>
        <w:pStyle w:val="BodyText"/>
        <w:ind w:left="100"/>
      </w:pPr>
    </w:p>
    <w:p w14:paraId="7B1389C5" w14:textId="10BD5781" w:rsidR="00E701E0" w:rsidRDefault="003037AA" w:rsidP="00762988">
      <w:pPr>
        <w:pStyle w:val="BodyText"/>
      </w:pPr>
      <w:r>
        <w:t xml:space="preserve">A positive figure demonstrates men </w:t>
      </w:r>
      <w:r w:rsidR="00762988">
        <w:t>receive higher pay</w:t>
      </w:r>
      <w:r>
        <w:t xml:space="preserve"> than women, a minus figure demonstrates that women </w:t>
      </w:r>
      <w:r w:rsidR="00762988">
        <w:t xml:space="preserve">receive higher pay </w:t>
      </w:r>
      <w:r>
        <w:t>than men based on the hourly rate of pay.</w:t>
      </w:r>
    </w:p>
    <w:p w14:paraId="37994FDD" w14:textId="77777777" w:rsidR="00E701E0" w:rsidRDefault="00E701E0">
      <w:pPr>
        <w:pStyle w:val="BodyText"/>
        <w:spacing w:before="10"/>
        <w:rPr>
          <w:sz w:val="23"/>
        </w:rPr>
      </w:pPr>
    </w:p>
    <w:p w14:paraId="0F99B086" w14:textId="30ED239B" w:rsidR="00E701E0" w:rsidRDefault="003037AA" w:rsidP="002A54A1">
      <w:pPr>
        <w:pStyle w:val="BodyText"/>
      </w:pPr>
      <w:r>
        <w:t>The data indicates that there is a gender pay gap i</w:t>
      </w:r>
      <w:r w:rsidR="00D53564">
        <w:t>dentified</w:t>
      </w:r>
      <w:r>
        <w:t xml:space="preserve">, however this is likely to be attributed to the high percentage of part time </w:t>
      </w:r>
      <w:r w:rsidR="00D53564">
        <w:t xml:space="preserve">female </w:t>
      </w:r>
      <w:r>
        <w:t xml:space="preserve">workers in the </w:t>
      </w:r>
      <w:proofErr w:type="spellStart"/>
      <w:r>
        <w:t>organisation</w:t>
      </w:r>
      <w:proofErr w:type="spellEnd"/>
      <w:r>
        <w:t xml:space="preserve">. The Council </w:t>
      </w:r>
      <w:r w:rsidR="00D53564">
        <w:t>is</w:t>
      </w:r>
      <w:r>
        <w:t xml:space="preserve"> a champion of </w:t>
      </w:r>
      <w:r w:rsidR="00D53564">
        <w:t xml:space="preserve">flexible </w:t>
      </w:r>
      <w:r>
        <w:t>working</w:t>
      </w:r>
      <w:r w:rsidR="00477DE4">
        <w:t xml:space="preserve"> which female workers are more likely than male workers to request.</w:t>
      </w:r>
    </w:p>
    <w:p w14:paraId="1615B2FD" w14:textId="77777777" w:rsidR="002A54A1" w:rsidRDefault="002A54A1" w:rsidP="002A54A1">
      <w:pPr>
        <w:pStyle w:val="BodyText"/>
      </w:pPr>
    </w:p>
    <w:p w14:paraId="59805120" w14:textId="715FE3D0" w:rsidR="002A54A1" w:rsidRDefault="002A54A1">
      <w:pPr>
        <w:pStyle w:val="BodyText"/>
        <w:spacing w:before="9"/>
      </w:pPr>
      <w:r w:rsidRPr="00F946C4">
        <w:t>Th</w:t>
      </w:r>
      <w:r>
        <w:t xml:space="preserve">ere </w:t>
      </w:r>
      <w:r w:rsidRPr="00F946C4">
        <w:t xml:space="preserve">is a reduction in the </w:t>
      </w:r>
      <w:r>
        <w:t xml:space="preserve">overall average </w:t>
      </w:r>
      <w:r w:rsidRPr="00F946C4">
        <w:t xml:space="preserve">pay gap from 5.64% </w:t>
      </w:r>
      <w:proofErr w:type="gramStart"/>
      <w:r w:rsidRPr="00F946C4">
        <w:t>a</w:t>
      </w:r>
      <w:r w:rsidR="00A95E29">
        <w:t>t</w:t>
      </w:r>
      <w:proofErr w:type="gramEnd"/>
      <w:r w:rsidRPr="00F946C4">
        <w:t xml:space="preserve"> 31</w:t>
      </w:r>
      <w:r w:rsidRPr="00F946C4">
        <w:rPr>
          <w:vertAlign w:val="superscript"/>
        </w:rPr>
        <w:t>st</w:t>
      </w:r>
      <w:r w:rsidRPr="00F946C4">
        <w:t xml:space="preserve"> March 2022</w:t>
      </w:r>
      <w:r w:rsidR="00D61B30">
        <w:t xml:space="preserve"> to 2.01% at 31</w:t>
      </w:r>
      <w:r w:rsidR="00D61B30" w:rsidRPr="00D61B30">
        <w:rPr>
          <w:vertAlign w:val="superscript"/>
        </w:rPr>
        <w:t>st</w:t>
      </w:r>
      <w:r w:rsidR="00D61B30">
        <w:t xml:space="preserve"> March 2023</w:t>
      </w:r>
      <w:r w:rsidRPr="00F946C4">
        <w:t>.</w:t>
      </w:r>
      <w:r>
        <w:t xml:space="preserve">  The overall median pay gap has also reduced from</w:t>
      </w:r>
      <w:r w:rsidR="00D61B30">
        <w:t xml:space="preserve"> </w:t>
      </w:r>
      <w:r>
        <w:t>12.64% from 31</w:t>
      </w:r>
      <w:r w:rsidRPr="002A54A1">
        <w:rPr>
          <w:vertAlign w:val="superscript"/>
        </w:rPr>
        <w:t>st</w:t>
      </w:r>
      <w:r>
        <w:t xml:space="preserve"> March 202</w:t>
      </w:r>
      <w:r w:rsidR="00D61B30">
        <w:t>2</w:t>
      </w:r>
      <w:r>
        <w:t xml:space="preserve"> to</w:t>
      </w:r>
      <w:r w:rsidR="00A95E29">
        <w:t xml:space="preserve"> 3.73% </w:t>
      </w:r>
      <w:proofErr w:type="gramStart"/>
      <w:r w:rsidR="00A95E29">
        <w:t>at</w:t>
      </w:r>
      <w:proofErr w:type="gramEnd"/>
      <w:r>
        <w:t xml:space="preserve"> 31</w:t>
      </w:r>
      <w:r w:rsidRPr="002A54A1">
        <w:rPr>
          <w:vertAlign w:val="superscript"/>
        </w:rPr>
        <w:t>st</w:t>
      </w:r>
      <w:r>
        <w:t xml:space="preserve"> March 202</w:t>
      </w:r>
      <w:r w:rsidR="00A95E29">
        <w:t>3</w:t>
      </w:r>
      <w:r>
        <w:t>.</w:t>
      </w:r>
      <w:r w:rsidR="00BC1C3A">
        <w:t xml:space="preserve"> </w:t>
      </w:r>
    </w:p>
    <w:p w14:paraId="30E8D406" w14:textId="77777777" w:rsidR="00A95E29" w:rsidRDefault="00A95E29">
      <w:pPr>
        <w:pStyle w:val="BodyText"/>
        <w:spacing w:before="9"/>
      </w:pPr>
    </w:p>
    <w:p w14:paraId="2AB521D3" w14:textId="77777777" w:rsidR="00E701E0" w:rsidRDefault="002A54A1">
      <w:pPr>
        <w:pStyle w:val="BodyText"/>
        <w:spacing w:before="9"/>
        <w:rPr>
          <w:sz w:val="23"/>
        </w:rPr>
      </w:pPr>
      <w:r>
        <w:t xml:space="preserve">  </w:t>
      </w:r>
    </w:p>
    <w:p w14:paraId="01DF7665" w14:textId="77777777" w:rsidR="00E701E0" w:rsidRPr="00A95E29" w:rsidRDefault="003037AA">
      <w:pPr>
        <w:pStyle w:val="ListParagraph"/>
        <w:numPr>
          <w:ilvl w:val="0"/>
          <w:numId w:val="1"/>
        </w:numPr>
        <w:tabs>
          <w:tab w:val="left" w:pos="821"/>
        </w:tabs>
        <w:rPr>
          <w:b/>
          <w:sz w:val="24"/>
          <w:szCs w:val="24"/>
        </w:rPr>
      </w:pPr>
      <w:r w:rsidRPr="00A95E29">
        <w:rPr>
          <w:b/>
          <w:sz w:val="24"/>
          <w:szCs w:val="24"/>
        </w:rPr>
        <w:t>Quartile</w:t>
      </w:r>
      <w:r w:rsidRPr="00A95E29">
        <w:rPr>
          <w:b/>
          <w:spacing w:val="-4"/>
          <w:sz w:val="24"/>
          <w:szCs w:val="24"/>
        </w:rPr>
        <w:t xml:space="preserve"> </w:t>
      </w:r>
      <w:r w:rsidRPr="00A95E29">
        <w:rPr>
          <w:b/>
          <w:sz w:val="24"/>
          <w:szCs w:val="24"/>
        </w:rPr>
        <w:t>data</w:t>
      </w:r>
    </w:p>
    <w:p w14:paraId="74CDB2E4" w14:textId="77777777" w:rsidR="00E701E0" w:rsidRDefault="00E701E0">
      <w:pPr>
        <w:pStyle w:val="BodyText"/>
        <w:spacing w:before="3"/>
        <w:rPr>
          <w:b/>
        </w:rPr>
      </w:pPr>
    </w:p>
    <w:p w14:paraId="1254C97F" w14:textId="59439C12" w:rsidR="00E701E0" w:rsidRDefault="003037AA">
      <w:pPr>
        <w:pStyle w:val="BodyText"/>
        <w:spacing w:before="1" w:line="254" w:lineRule="auto"/>
        <w:ind w:left="100" w:right="137"/>
      </w:pPr>
      <w:r>
        <w:t>The differential in the percentage of male and female employees in each pay quartile, based on hourly pay as at 31</w:t>
      </w:r>
      <w:proofErr w:type="spellStart"/>
      <w:proofErr w:type="gramStart"/>
      <w:r>
        <w:rPr>
          <w:position w:val="8"/>
          <w:sz w:val="16"/>
        </w:rPr>
        <w:t>st</w:t>
      </w:r>
      <w:proofErr w:type="spellEnd"/>
      <w:r>
        <w:rPr>
          <w:position w:val="8"/>
          <w:sz w:val="16"/>
        </w:rPr>
        <w:t xml:space="preserve">  </w:t>
      </w:r>
      <w:r>
        <w:t>March</w:t>
      </w:r>
      <w:proofErr w:type="gramEnd"/>
      <w:r>
        <w:t xml:space="preserve"> 202</w:t>
      </w:r>
      <w:r w:rsidR="00A95E29">
        <w:t>3</w:t>
      </w:r>
      <w:r>
        <w:t>, are as follows;</w:t>
      </w:r>
    </w:p>
    <w:p w14:paraId="59C2D07F" w14:textId="77777777" w:rsidR="002A54A1" w:rsidRDefault="002A54A1">
      <w:pPr>
        <w:pStyle w:val="BodyText"/>
        <w:spacing w:before="1" w:line="254" w:lineRule="auto"/>
        <w:ind w:left="100" w:right="137"/>
      </w:pPr>
    </w:p>
    <w:tbl>
      <w:tblPr>
        <w:tblW w:w="9772" w:type="dxa"/>
        <w:tblInd w:w="-1" w:type="dxa"/>
        <w:tblCellMar>
          <w:left w:w="0" w:type="dxa"/>
          <w:right w:w="0" w:type="dxa"/>
        </w:tblCellMar>
        <w:tblLook w:val="04A0" w:firstRow="1" w:lastRow="0" w:firstColumn="1" w:lastColumn="0" w:noHBand="0" w:noVBand="1"/>
      </w:tblPr>
      <w:tblGrid>
        <w:gridCol w:w="1409"/>
        <w:gridCol w:w="1134"/>
        <w:gridCol w:w="850"/>
        <w:gridCol w:w="1491"/>
        <w:gridCol w:w="1061"/>
        <w:gridCol w:w="1178"/>
        <w:gridCol w:w="1232"/>
        <w:gridCol w:w="1417"/>
      </w:tblGrid>
      <w:tr w:rsidR="002A54A1" w:rsidRPr="002A54A1" w14:paraId="3880FA85" w14:textId="77777777" w:rsidTr="00760376">
        <w:trPr>
          <w:trHeight w:val="255"/>
        </w:trPr>
        <w:tc>
          <w:tcPr>
            <w:tcW w:w="2543" w:type="dxa"/>
            <w:gridSpan w:val="2"/>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hideMark/>
          </w:tcPr>
          <w:p w14:paraId="21C57D4B" w14:textId="77777777" w:rsidR="002A54A1" w:rsidRPr="002A54A1" w:rsidRDefault="002A54A1" w:rsidP="002A54A1">
            <w:pPr>
              <w:widowControl/>
              <w:autoSpaceDE/>
              <w:autoSpaceDN/>
              <w:jc w:val="center"/>
              <w:rPr>
                <w:rFonts w:eastAsia="Calibri"/>
                <w:sz w:val="20"/>
                <w:szCs w:val="20"/>
                <w:lang w:val="en-GB" w:eastAsia="en-GB"/>
              </w:rPr>
            </w:pPr>
            <w:r w:rsidRPr="002A54A1">
              <w:rPr>
                <w:rFonts w:eastAsia="Calibri"/>
                <w:sz w:val="20"/>
                <w:szCs w:val="20"/>
                <w:lang w:val="en-GB" w:eastAsia="en-GB"/>
              </w:rPr>
              <w:t>Lower </w:t>
            </w:r>
          </w:p>
        </w:tc>
        <w:tc>
          <w:tcPr>
            <w:tcW w:w="2341" w:type="dxa"/>
            <w:gridSpan w:val="2"/>
            <w:tcBorders>
              <w:top w:val="single" w:sz="8" w:space="0" w:color="auto"/>
              <w:left w:val="nil"/>
              <w:bottom w:val="single" w:sz="8" w:space="0" w:color="auto"/>
              <w:right w:val="single" w:sz="8" w:space="0" w:color="auto"/>
            </w:tcBorders>
            <w:tcMar>
              <w:top w:w="15" w:type="dxa"/>
              <w:left w:w="108" w:type="dxa"/>
              <w:bottom w:w="15" w:type="dxa"/>
              <w:right w:w="108" w:type="dxa"/>
            </w:tcMar>
            <w:vAlign w:val="center"/>
            <w:hideMark/>
          </w:tcPr>
          <w:p w14:paraId="306461F7" w14:textId="77777777" w:rsidR="002A54A1" w:rsidRPr="002A54A1" w:rsidRDefault="002A54A1" w:rsidP="002A54A1">
            <w:pPr>
              <w:widowControl/>
              <w:autoSpaceDE/>
              <w:autoSpaceDN/>
              <w:jc w:val="center"/>
              <w:rPr>
                <w:rFonts w:eastAsia="Calibri"/>
                <w:sz w:val="20"/>
                <w:szCs w:val="20"/>
                <w:lang w:val="en-GB" w:eastAsia="en-GB"/>
              </w:rPr>
            </w:pPr>
            <w:r w:rsidRPr="002A54A1">
              <w:rPr>
                <w:rFonts w:eastAsia="Calibri"/>
                <w:sz w:val="20"/>
                <w:szCs w:val="20"/>
                <w:lang w:val="en-GB" w:eastAsia="en-GB"/>
              </w:rPr>
              <w:t>Lower middle </w:t>
            </w:r>
          </w:p>
        </w:tc>
        <w:tc>
          <w:tcPr>
            <w:tcW w:w="2239" w:type="dxa"/>
            <w:gridSpan w:val="2"/>
            <w:tcBorders>
              <w:top w:val="single" w:sz="8" w:space="0" w:color="auto"/>
              <w:left w:val="nil"/>
              <w:bottom w:val="single" w:sz="8" w:space="0" w:color="auto"/>
              <w:right w:val="single" w:sz="8" w:space="0" w:color="auto"/>
            </w:tcBorders>
            <w:tcMar>
              <w:top w:w="15" w:type="dxa"/>
              <w:left w:w="108" w:type="dxa"/>
              <w:bottom w:w="15" w:type="dxa"/>
              <w:right w:w="108" w:type="dxa"/>
            </w:tcMar>
            <w:vAlign w:val="center"/>
            <w:hideMark/>
          </w:tcPr>
          <w:p w14:paraId="160F11A8" w14:textId="77777777" w:rsidR="002A54A1" w:rsidRPr="002A54A1" w:rsidRDefault="002A54A1" w:rsidP="002A54A1">
            <w:pPr>
              <w:widowControl/>
              <w:autoSpaceDE/>
              <w:autoSpaceDN/>
              <w:jc w:val="center"/>
              <w:rPr>
                <w:rFonts w:eastAsia="Calibri"/>
                <w:sz w:val="20"/>
                <w:szCs w:val="20"/>
                <w:lang w:val="en-GB" w:eastAsia="en-GB"/>
              </w:rPr>
            </w:pPr>
            <w:r w:rsidRPr="002A54A1">
              <w:rPr>
                <w:rFonts w:eastAsia="Calibri"/>
                <w:sz w:val="20"/>
                <w:szCs w:val="20"/>
                <w:lang w:val="en-GB" w:eastAsia="en-GB"/>
              </w:rPr>
              <w:t>Upper middle </w:t>
            </w:r>
          </w:p>
        </w:tc>
        <w:tc>
          <w:tcPr>
            <w:tcW w:w="2649" w:type="dxa"/>
            <w:gridSpan w:val="2"/>
            <w:tcBorders>
              <w:top w:val="single" w:sz="8" w:space="0" w:color="auto"/>
              <w:left w:val="nil"/>
              <w:bottom w:val="single" w:sz="8" w:space="0" w:color="auto"/>
              <w:right w:val="single" w:sz="8" w:space="0" w:color="auto"/>
            </w:tcBorders>
            <w:tcMar>
              <w:top w:w="15" w:type="dxa"/>
              <w:left w:w="108" w:type="dxa"/>
              <w:bottom w:w="15" w:type="dxa"/>
              <w:right w:w="108" w:type="dxa"/>
            </w:tcMar>
            <w:vAlign w:val="center"/>
            <w:hideMark/>
          </w:tcPr>
          <w:p w14:paraId="5B251419" w14:textId="77777777" w:rsidR="002A54A1" w:rsidRPr="002A54A1" w:rsidRDefault="002A54A1" w:rsidP="002A54A1">
            <w:pPr>
              <w:widowControl/>
              <w:autoSpaceDE/>
              <w:autoSpaceDN/>
              <w:jc w:val="center"/>
              <w:rPr>
                <w:rFonts w:eastAsia="Calibri"/>
                <w:sz w:val="20"/>
                <w:szCs w:val="20"/>
                <w:lang w:val="en-GB" w:eastAsia="en-GB"/>
              </w:rPr>
            </w:pPr>
            <w:r w:rsidRPr="002A54A1">
              <w:rPr>
                <w:rFonts w:eastAsia="Calibri"/>
                <w:sz w:val="20"/>
                <w:szCs w:val="20"/>
                <w:lang w:val="en-GB" w:eastAsia="en-GB"/>
              </w:rPr>
              <w:t>Upper </w:t>
            </w:r>
          </w:p>
        </w:tc>
      </w:tr>
      <w:tr w:rsidR="00760376" w:rsidRPr="002A54A1" w14:paraId="1FE5169B" w14:textId="77777777" w:rsidTr="00760376">
        <w:trPr>
          <w:trHeight w:val="255"/>
        </w:trPr>
        <w:tc>
          <w:tcPr>
            <w:tcW w:w="1409"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hideMark/>
          </w:tcPr>
          <w:p w14:paraId="47178853" w14:textId="77777777" w:rsidR="002A54A1" w:rsidRPr="002A54A1" w:rsidRDefault="002A54A1" w:rsidP="002A54A1">
            <w:pPr>
              <w:widowControl/>
              <w:autoSpaceDE/>
              <w:autoSpaceDN/>
              <w:rPr>
                <w:rFonts w:eastAsia="Calibri"/>
                <w:sz w:val="20"/>
                <w:szCs w:val="20"/>
                <w:lang w:val="en-GB" w:eastAsia="en-GB"/>
              </w:rPr>
            </w:pPr>
            <w:r w:rsidRPr="002A54A1">
              <w:rPr>
                <w:rFonts w:eastAsia="Calibri"/>
                <w:sz w:val="20"/>
                <w:szCs w:val="20"/>
                <w:lang w:val="en-GB" w:eastAsia="en-GB"/>
              </w:rPr>
              <w:t>Male </w:t>
            </w:r>
          </w:p>
        </w:tc>
        <w:tc>
          <w:tcPr>
            <w:tcW w:w="1134"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6CD5A0FB" w14:textId="77777777" w:rsidR="002A54A1" w:rsidRPr="002A54A1" w:rsidRDefault="002A54A1" w:rsidP="002A54A1">
            <w:pPr>
              <w:widowControl/>
              <w:autoSpaceDE/>
              <w:autoSpaceDN/>
              <w:rPr>
                <w:rFonts w:eastAsia="Calibri"/>
                <w:sz w:val="20"/>
                <w:szCs w:val="20"/>
                <w:lang w:val="en-GB" w:eastAsia="en-GB"/>
              </w:rPr>
            </w:pPr>
            <w:r w:rsidRPr="002A54A1">
              <w:rPr>
                <w:rFonts w:eastAsia="Calibri"/>
                <w:sz w:val="20"/>
                <w:szCs w:val="20"/>
                <w:lang w:val="en-GB" w:eastAsia="en-GB"/>
              </w:rPr>
              <w:t>Female </w:t>
            </w:r>
          </w:p>
        </w:tc>
        <w:tc>
          <w:tcPr>
            <w:tcW w:w="850"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5A8DAC4D" w14:textId="77777777" w:rsidR="002A54A1" w:rsidRPr="002A54A1" w:rsidRDefault="002A54A1" w:rsidP="002A54A1">
            <w:pPr>
              <w:widowControl/>
              <w:autoSpaceDE/>
              <w:autoSpaceDN/>
              <w:rPr>
                <w:rFonts w:eastAsia="Calibri"/>
                <w:sz w:val="20"/>
                <w:szCs w:val="20"/>
                <w:lang w:val="en-GB" w:eastAsia="en-GB"/>
              </w:rPr>
            </w:pPr>
            <w:r w:rsidRPr="002A54A1">
              <w:rPr>
                <w:rFonts w:eastAsia="Calibri"/>
                <w:sz w:val="20"/>
                <w:szCs w:val="20"/>
                <w:lang w:val="en-GB" w:eastAsia="en-GB"/>
              </w:rPr>
              <w:t>Male </w:t>
            </w:r>
          </w:p>
        </w:tc>
        <w:tc>
          <w:tcPr>
            <w:tcW w:w="1491"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0817EE34" w14:textId="77777777" w:rsidR="002A54A1" w:rsidRPr="002A54A1" w:rsidRDefault="002A54A1" w:rsidP="002A54A1">
            <w:pPr>
              <w:widowControl/>
              <w:autoSpaceDE/>
              <w:autoSpaceDN/>
              <w:rPr>
                <w:rFonts w:eastAsia="Calibri"/>
                <w:sz w:val="20"/>
                <w:szCs w:val="20"/>
                <w:lang w:val="en-GB" w:eastAsia="en-GB"/>
              </w:rPr>
            </w:pPr>
            <w:r w:rsidRPr="002A54A1">
              <w:rPr>
                <w:rFonts w:eastAsia="Calibri"/>
                <w:sz w:val="20"/>
                <w:szCs w:val="20"/>
                <w:lang w:val="en-GB" w:eastAsia="en-GB"/>
              </w:rPr>
              <w:t>Female </w:t>
            </w:r>
          </w:p>
        </w:tc>
        <w:tc>
          <w:tcPr>
            <w:tcW w:w="1061"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1919E768" w14:textId="77777777" w:rsidR="002A54A1" w:rsidRPr="002A54A1" w:rsidRDefault="002A54A1" w:rsidP="002A54A1">
            <w:pPr>
              <w:widowControl/>
              <w:autoSpaceDE/>
              <w:autoSpaceDN/>
              <w:rPr>
                <w:rFonts w:eastAsia="Calibri"/>
                <w:sz w:val="20"/>
                <w:szCs w:val="20"/>
                <w:lang w:val="en-GB" w:eastAsia="en-GB"/>
              </w:rPr>
            </w:pPr>
            <w:r w:rsidRPr="002A54A1">
              <w:rPr>
                <w:rFonts w:eastAsia="Calibri"/>
                <w:sz w:val="20"/>
                <w:szCs w:val="20"/>
                <w:lang w:val="en-GB" w:eastAsia="en-GB"/>
              </w:rPr>
              <w:t>Male </w:t>
            </w:r>
          </w:p>
        </w:tc>
        <w:tc>
          <w:tcPr>
            <w:tcW w:w="1178"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11CF4232" w14:textId="77777777" w:rsidR="002A54A1" w:rsidRPr="002A54A1" w:rsidRDefault="002A54A1" w:rsidP="002A54A1">
            <w:pPr>
              <w:widowControl/>
              <w:autoSpaceDE/>
              <w:autoSpaceDN/>
              <w:rPr>
                <w:rFonts w:eastAsia="Calibri"/>
                <w:sz w:val="20"/>
                <w:szCs w:val="20"/>
                <w:lang w:val="en-GB" w:eastAsia="en-GB"/>
              </w:rPr>
            </w:pPr>
            <w:r w:rsidRPr="002A54A1">
              <w:rPr>
                <w:rFonts w:eastAsia="Calibri"/>
                <w:sz w:val="20"/>
                <w:szCs w:val="20"/>
                <w:lang w:val="en-GB" w:eastAsia="en-GB"/>
              </w:rPr>
              <w:t>Female </w:t>
            </w:r>
          </w:p>
        </w:tc>
        <w:tc>
          <w:tcPr>
            <w:tcW w:w="1232"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572B4198" w14:textId="77777777" w:rsidR="002A54A1" w:rsidRPr="002A54A1" w:rsidRDefault="002A54A1" w:rsidP="002A54A1">
            <w:pPr>
              <w:widowControl/>
              <w:autoSpaceDE/>
              <w:autoSpaceDN/>
              <w:rPr>
                <w:rFonts w:eastAsia="Calibri"/>
                <w:sz w:val="20"/>
                <w:szCs w:val="20"/>
                <w:lang w:val="en-GB" w:eastAsia="en-GB"/>
              </w:rPr>
            </w:pPr>
            <w:r w:rsidRPr="002A54A1">
              <w:rPr>
                <w:rFonts w:eastAsia="Calibri"/>
                <w:sz w:val="20"/>
                <w:szCs w:val="20"/>
                <w:lang w:val="en-GB" w:eastAsia="en-GB"/>
              </w:rPr>
              <w:t>Male </w:t>
            </w:r>
          </w:p>
        </w:tc>
        <w:tc>
          <w:tcPr>
            <w:tcW w:w="1417"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31803E5C" w14:textId="77777777" w:rsidR="002A54A1" w:rsidRPr="002A54A1" w:rsidRDefault="002A54A1" w:rsidP="002A54A1">
            <w:pPr>
              <w:widowControl/>
              <w:autoSpaceDE/>
              <w:autoSpaceDN/>
              <w:rPr>
                <w:rFonts w:eastAsia="Calibri"/>
                <w:sz w:val="20"/>
                <w:szCs w:val="20"/>
                <w:lang w:val="en-GB" w:eastAsia="en-GB"/>
              </w:rPr>
            </w:pPr>
            <w:r w:rsidRPr="002A54A1">
              <w:rPr>
                <w:rFonts w:eastAsia="Calibri"/>
                <w:sz w:val="20"/>
                <w:szCs w:val="20"/>
                <w:lang w:val="en-GB" w:eastAsia="en-GB"/>
              </w:rPr>
              <w:t>Female </w:t>
            </w:r>
          </w:p>
        </w:tc>
      </w:tr>
      <w:tr w:rsidR="00760376" w:rsidRPr="002A54A1" w14:paraId="24685EF5" w14:textId="77777777" w:rsidTr="00760376">
        <w:trPr>
          <w:trHeight w:val="255"/>
        </w:trPr>
        <w:tc>
          <w:tcPr>
            <w:tcW w:w="1409"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hideMark/>
          </w:tcPr>
          <w:p w14:paraId="32A10137" w14:textId="77777777" w:rsidR="002A54A1" w:rsidRPr="002A54A1" w:rsidRDefault="002A54A1" w:rsidP="002A54A1">
            <w:pPr>
              <w:widowControl/>
              <w:autoSpaceDE/>
              <w:autoSpaceDN/>
              <w:rPr>
                <w:rFonts w:eastAsia="Calibri"/>
                <w:sz w:val="20"/>
                <w:szCs w:val="20"/>
                <w:lang w:val="en-GB" w:eastAsia="en-GB"/>
              </w:rPr>
            </w:pPr>
            <w:r w:rsidRPr="002A54A1">
              <w:rPr>
                <w:rFonts w:eastAsia="Calibri"/>
                <w:sz w:val="20"/>
                <w:szCs w:val="20"/>
                <w:lang w:val="en-GB" w:eastAsia="en-GB"/>
              </w:rPr>
              <w:t>70%</w:t>
            </w:r>
          </w:p>
        </w:tc>
        <w:tc>
          <w:tcPr>
            <w:tcW w:w="1134"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65B86AB4" w14:textId="77777777" w:rsidR="002A54A1" w:rsidRPr="002A54A1" w:rsidRDefault="002A54A1" w:rsidP="002A54A1">
            <w:pPr>
              <w:widowControl/>
              <w:autoSpaceDE/>
              <w:autoSpaceDN/>
              <w:rPr>
                <w:rFonts w:eastAsia="Calibri"/>
                <w:sz w:val="20"/>
                <w:szCs w:val="20"/>
                <w:lang w:val="en-GB" w:eastAsia="en-GB"/>
              </w:rPr>
            </w:pPr>
            <w:r w:rsidRPr="002A54A1">
              <w:rPr>
                <w:rFonts w:eastAsia="Calibri"/>
                <w:sz w:val="20"/>
                <w:szCs w:val="20"/>
                <w:lang w:val="en-GB" w:eastAsia="en-GB"/>
              </w:rPr>
              <w:t>30%</w:t>
            </w:r>
          </w:p>
        </w:tc>
        <w:tc>
          <w:tcPr>
            <w:tcW w:w="850"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6EE25F6B" w14:textId="77777777" w:rsidR="002A54A1" w:rsidRPr="002A54A1" w:rsidRDefault="002A54A1" w:rsidP="002A54A1">
            <w:pPr>
              <w:widowControl/>
              <w:autoSpaceDE/>
              <w:autoSpaceDN/>
              <w:rPr>
                <w:rFonts w:eastAsia="Calibri"/>
                <w:sz w:val="20"/>
                <w:szCs w:val="20"/>
                <w:lang w:val="en-GB" w:eastAsia="en-GB"/>
              </w:rPr>
            </w:pPr>
            <w:r w:rsidRPr="002A54A1">
              <w:rPr>
                <w:rFonts w:eastAsia="Calibri"/>
                <w:sz w:val="20"/>
                <w:szCs w:val="20"/>
                <w:lang w:val="en-GB" w:eastAsia="en-GB"/>
              </w:rPr>
              <w:t>64%</w:t>
            </w:r>
          </w:p>
        </w:tc>
        <w:tc>
          <w:tcPr>
            <w:tcW w:w="1491"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7D737884" w14:textId="77777777" w:rsidR="002A54A1" w:rsidRPr="002A54A1" w:rsidRDefault="002A54A1" w:rsidP="002A54A1">
            <w:pPr>
              <w:widowControl/>
              <w:autoSpaceDE/>
              <w:autoSpaceDN/>
              <w:rPr>
                <w:rFonts w:eastAsia="Calibri"/>
                <w:sz w:val="20"/>
                <w:szCs w:val="20"/>
                <w:lang w:val="en-GB" w:eastAsia="en-GB"/>
              </w:rPr>
            </w:pPr>
            <w:r w:rsidRPr="002A54A1">
              <w:rPr>
                <w:rFonts w:eastAsia="Calibri"/>
                <w:sz w:val="20"/>
                <w:szCs w:val="20"/>
                <w:lang w:val="en-GB" w:eastAsia="en-GB"/>
              </w:rPr>
              <w:t>36%</w:t>
            </w:r>
          </w:p>
        </w:tc>
        <w:tc>
          <w:tcPr>
            <w:tcW w:w="1061"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51E3487A" w14:textId="77777777" w:rsidR="002A54A1" w:rsidRPr="002A54A1" w:rsidRDefault="002A54A1" w:rsidP="002A54A1">
            <w:pPr>
              <w:widowControl/>
              <w:autoSpaceDE/>
              <w:autoSpaceDN/>
              <w:rPr>
                <w:rFonts w:eastAsia="Calibri"/>
                <w:sz w:val="20"/>
                <w:szCs w:val="20"/>
                <w:lang w:val="en-GB" w:eastAsia="en-GB"/>
              </w:rPr>
            </w:pPr>
            <w:r w:rsidRPr="002A54A1">
              <w:rPr>
                <w:rFonts w:eastAsia="Calibri"/>
                <w:sz w:val="20"/>
                <w:szCs w:val="20"/>
                <w:lang w:val="en-GB" w:eastAsia="en-GB"/>
              </w:rPr>
              <w:t>53%</w:t>
            </w:r>
          </w:p>
        </w:tc>
        <w:tc>
          <w:tcPr>
            <w:tcW w:w="1178"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17605926" w14:textId="77777777" w:rsidR="002A54A1" w:rsidRPr="002A54A1" w:rsidRDefault="002A54A1" w:rsidP="002A54A1">
            <w:pPr>
              <w:widowControl/>
              <w:autoSpaceDE/>
              <w:autoSpaceDN/>
              <w:rPr>
                <w:rFonts w:eastAsia="Calibri"/>
                <w:sz w:val="20"/>
                <w:szCs w:val="20"/>
                <w:lang w:val="en-GB" w:eastAsia="en-GB"/>
              </w:rPr>
            </w:pPr>
            <w:r w:rsidRPr="002A54A1">
              <w:rPr>
                <w:rFonts w:eastAsia="Calibri"/>
                <w:sz w:val="20"/>
                <w:szCs w:val="20"/>
                <w:lang w:val="en-GB" w:eastAsia="en-GB"/>
              </w:rPr>
              <w:t>47%</w:t>
            </w:r>
          </w:p>
        </w:tc>
        <w:tc>
          <w:tcPr>
            <w:tcW w:w="1232"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6648BEB3" w14:textId="77777777" w:rsidR="002A54A1" w:rsidRPr="002A54A1" w:rsidRDefault="002A54A1" w:rsidP="002A54A1">
            <w:pPr>
              <w:widowControl/>
              <w:autoSpaceDE/>
              <w:autoSpaceDN/>
              <w:rPr>
                <w:rFonts w:eastAsia="Calibri"/>
                <w:sz w:val="20"/>
                <w:szCs w:val="20"/>
                <w:lang w:val="en-GB" w:eastAsia="en-GB"/>
              </w:rPr>
            </w:pPr>
            <w:r w:rsidRPr="002A54A1">
              <w:rPr>
                <w:rFonts w:eastAsia="Calibri"/>
                <w:sz w:val="20"/>
                <w:szCs w:val="20"/>
                <w:lang w:val="en-GB" w:eastAsia="en-GB"/>
              </w:rPr>
              <w:t>42%</w:t>
            </w:r>
          </w:p>
        </w:tc>
        <w:tc>
          <w:tcPr>
            <w:tcW w:w="1417" w:type="dxa"/>
            <w:tcBorders>
              <w:top w:val="nil"/>
              <w:left w:val="nil"/>
              <w:bottom w:val="single" w:sz="8" w:space="0" w:color="auto"/>
              <w:right w:val="single" w:sz="8" w:space="0" w:color="auto"/>
            </w:tcBorders>
            <w:tcMar>
              <w:top w:w="15" w:type="dxa"/>
              <w:left w:w="108" w:type="dxa"/>
              <w:bottom w:w="15" w:type="dxa"/>
              <w:right w:w="108" w:type="dxa"/>
            </w:tcMar>
            <w:vAlign w:val="center"/>
            <w:hideMark/>
          </w:tcPr>
          <w:p w14:paraId="0FC8C633" w14:textId="77777777" w:rsidR="002A54A1" w:rsidRPr="002A54A1" w:rsidRDefault="002A54A1" w:rsidP="002A54A1">
            <w:pPr>
              <w:widowControl/>
              <w:autoSpaceDE/>
              <w:autoSpaceDN/>
              <w:rPr>
                <w:rFonts w:eastAsia="Calibri"/>
                <w:sz w:val="20"/>
                <w:szCs w:val="20"/>
                <w:lang w:val="en-GB" w:eastAsia="en-GB"/>
              </w:rPr>
            </w:pPr>
            <w:r w:rsidRPr="002A54A1">
              <w:rPr>
                <w:rFonts w:eastAsia="Calibri"/>
                <w:sz w:val="20"/>
                <w:szCs w:val="20"/>
                <w:lang w:val="en-GB" w:eastAsia="en-GB"/>
              </w:rPr>
              <w:t>58%</w:t>
            </w:r>
          </w:p>
        </w:tc>
      </w:tr>
    </w:tbl>
    <w:p w14:paraId="530F9AF8" w14:textId="77777777" w:rsidR="002A54A1" w:rsidRDefault="002A54A1">
      <w:pPr>
        <w:pStyle w:val="BodyText"/>
        <w:spacing w:before="1" w:line="254" w:lineRule="auto"/>
        <w:ind w:left="100" w:right="137"/>
      </w:pPr>
    </w:p>
    <w:p w14:paraId="18B8FE41" w14:textId="77777777" w:rsidR="00E701E0" w:rsidRDefault="00E701E0">
      <w:pPr>
        <w:pStyle w:val="BodyText"/>
        <w:spacing w:before="4"/>
        <w:rPr>
          <w:sz w:val="14"/>
        </w:rPr>
      </w:pPr>
    </w:p>
    <w:p w14:paraId="0BFEB525" w14:textId="7EA37C87" w:rsidR="00E701E0" w:rsidRDefault="003037AA">
      <w:pPr>
        <w:pStyle w:val="BodyText"/>
        <w:spacing w:line="259" w:lineRule="auto"/>
        <w:ind w:left="100"/>
      </w:pPr>
      <w:r>
        <w:t xml:space="preserve">This data demonstrates a positive differential in </w:t>
      </w:r>
      <w:proofErr w:type="spellStart"/>
      <w:r>
        <w:t>favour</w:t>
      </w:r>
      <w:proofErr w:type="spellEnd"/>
      <w:r>
        <w:t xml:space="preserve"> of women in the upper quartile and a negative differential in the lower quartiles.</w:t>
      </w:r>
      <w:r w:rsidR="00B324F5">
        <w:t xml:space="preserve"> </w:t>
      </w:r>
      <w:r w:rsidR="003804D9">
        <w:t>A</w:t>
      </w:r>
      <w:r w:rsidR="00E0037E">
        <w:t xml:space="preserve"> female </w:t>
      </w:r>
      <w:proofErr w:type="gramStart"/>
      <w:r w:rsidR="00E0037E">
        <w:t>increase</w:t>
      </w:r>
      <w:proofErr w:type="gramEnd"/>
      <w:r w:rsidR="00E0037E">
        <w:t xml:space="preserve"> in the upper quartile</w:t>
      </w:r>
      <w:r w:rsidR="003804D9">
        <w:t xml:space="preserve"> of 13% is evident </w:t>
      </w:r>
      <w:r w:rsidR="00E0037E">
        <w:t>compared to 2022</w:t>
      </w:r>
      <w:r w:rsidR="00DC071E">
        <w:t xml:space="preserve"> which has had a significant impact on the </w:t>
      </w:r>
      <w:r w:rsidR="00711BA4">
        <w:t>pay gap.</w:t>
      </w:r>
    </w:p>
    <w:p w14:paraId="0A62C72C" w14:textId="77777777" w:rsidR="00711BA4" w:rsidRDefault="00711BA4">
      <w:pPr>
        <w:pStyle w:val="BodyText"/>
        <w:spacing w:line="259" w:lineRule="auto"/>
        <w:ind w:left="100"/>
      </w:pPr>
    </w:p>
    <w:p w14:paraId="45780264" w14:textId="77777777" w:rsidR="00E701E0" w:rsidRPr="00711BA4" w:rsidRDefault="003037AA">
      <w:pPr>
        <w:pStyle w:val="ListParagraph"/>
        <w:numPr>
          <w:ilvl w:val="0"/>
          <w:numId w:val="1"/>
        </w:numPr>
        <w:tabs>
          <w:tab w:val="left" w:pos="821"/>
        </w:tabs>
        <w:spacing w:before="158"/>
        <w:rPr>
          <w:b/>
          <w:sz w:val="24"/>
          <w:szCs w:val="24"/>
        </w:rPr>
      </w:pPr>
      <w:r w:rsidRPr="00711BA4">
        <w:rPr>
          <w:b/>
          <w:sz w:val="24"/>
          <w:szCs w:val="24"/>
        </w:rPr>
        <w:t>Action Plan to Close the</w:t>
      </w:r>
      <w:r w:rsidRPr="00711BA4">
        <w:rPr>
          <w:b/>
          <w:spacing w:val="-6"/>
          <w:sz w:val="24"/>
          <w:szCs w:val="24"/>
        </w:rPr>
        <w:t xml:space="preserve"> </w:t>
      </w:r>
      <w:r w:rsidRPr="00711BA4">
        <w:rPr>
          <w:b/>
          <w:sz w:val="24"/>
          <w:szCs w:val="24"/>
        </w:rPr>
        <w:t>Gap</w:t>
      </w:r>
    </w:p>
    <w:p w14:paraId="280087C7" w14:textId="2944C52E" w:rsidR="00E701E0" w:rsidRDefault="003037AA">
      <w:pPr>
        <w:pStyle w:val="BodyText"/>
        <w:spacing w:before="184"/>
        <w:ind w:left="100"/>
      </w:pPr>
      <w:r>
        <w:t>In 202</w:t>
      </w:r>
      <w:r w:rsidR="00711BA4">
        <w:t>4/25</w:t>
      </w:r>
      <w:r w:rsidR="00FA533F">
        <w:t>,</w:t>
      </w:r>
      <w:r>
        <w:t xml:space="preserve"> the Council will, as part of our </w:t>
      </w:r>
      <w:r w:rsidR="003F663A">
        <w:t>five</w:t>
      </w:r>
      <w:r w:rsidR="00193668">
        <w:t>-</w:t>
      </w:r>
      <w:r w:rsidR="003F663A">
        <w:t xml:space="preserve">year </w:t>
      </w:r>
      <w:r>
        <w:t xml:space="preserve">Workforce </w:t>
      </w:r>
      <w:proofErr w:type="gramStart"/>
      <w:r>
        <w:t>Strategy</w:t>
      </w:r>
      <w:r w:rsidR="00711BA4">
        <w:t>;</w:t>
      </w:r>
      <w:proofErr w:type="gramEnd"/>
    </w:p>
    <w:p w14:paraId="50890B09" w14:textId="77777777" w:rsidR="00193668" w:rsidRDefault="00193668">
      <w:pPr>
        <w:pStyle w:val="BodyText"/>
        <w:spacing w:before="184"/>
        <w:ind w:left="100"/>
      </w:pPr>
    </w:p>
    <w:p w14:paraId="0B3DBB5F" w14:textId="6EA6702D" w:rsidR="00E701E0" w:rsidRDefault="003037AA" w:rsidP="0080572E">
      <w:pPr>
        <w:pStyle w:val="ListParagraph"/>
        <w:numPr>
          <w:ilvl w:val="1"/>
          <w:numId w:val="1"/>
        </w:numPr>
        <w:tabs>
          <w:tab w:val="left" w:pos="1180"/>
          <w:tab w:val="left" w:pos="1181"/>
        </w:tabs>
        <w:spacing w:before="3" w:line="256" w:lineRule="auto"/>
        <w:ind w:right="275"/>
        <w:rPr>
          <w:sz w:val="24"/>
        </w:rPr>
      </w:pPr>
      <w:r>
        <w:rPr>
          <w:sz w:val="24"/>
        </w:rPr>
        <w:t xml:space="preserve">Review our approach to recruitment and selection to </w:t>
      </w:r>
      <w:r w:rsidR="0080572E">
        <w:rPr>
          <w:sz w:val="24"/>
        </w:rPr>
        <w:t>consider whether there are</w:t>
      </w:r>
      <w:r>
        <w:rPr>
          <w:sz w:val="24"/>
        </w:rPr>
        <w:t xml:space="preserve"> barriers to women</w:t>
      </w:r>
      <w:r w:rsidR="00193668">
        <w:rPr>
          <w:sz w:val="24"/>
        </w:rPr>
        <w:t xml:space="preserve"> </w:t>
      </w:r>
      <w:r>
        <w:rPr>
          <w:sz w:val="24"/>
        </w:rPr>
        <w:t xml:space="preserve">applying for roles </w:t>
      </w:r>
      <w:r w:rsidR="0080572E">
        <w:rPr>
          <w:sz w:val="24"/>
        </w:rPr>
        <w:t xml:space="preserve">across all quartiles </w:t>
      </w:r>
      <w:r>
        <w:rPr>
          <w:sz w:val="24"/>
        </w:rPr>
        <w:t>in the</w:t>
      </w:r>
      <w:r>
        <w:rPr>
          <w:spacing w:val="-18"/>
          <w:sz w:val="24"/>
        </w:rPr>
        <w:t xml:space="preserve"> </w:t>
      </w:r>
      <w:r>
        <w:rPr>
          <w:sz w:val="24"/>
        </w:rPr>
        <w:t>Council.</w:t>
      </w:r>
    </w:p>
    <w:p w14:paraId="2E2E0802" w14:textId="7123E7BF" w:rsidR="0080572E" w:rsidRDefault="006929EB" w:rsidP="0080572E">
      <w:pPr>
        <w:pStyle w:val="ListParagraph"/>
        <w:numPr>
          <w:ilvl w:val="1"/>
          <w:numId w:val="1"/>
        </w:numPr>
        <w:tabs>
          <w:tab w:val="left" w:pos="1180"/>
          <w:tab w:val="left" w:pos="1181"/>
        </w:tabs>
        <w:spacing w:before="3" w:line="256" w:lineRule="auto"/>
        <w:ind w:right="275"/>
        <w:rPr>
          <w:sz w:val="24"/>
        </w:rPr>
      </w:pPr>
      <w:r>
        <w:rPr>
          <w:sz w:val="24"/>
        </w:rPr>
        <w:t xml:space="preserve">Continue to </w:t>
      </w:r>
      <w:r w:rsidR="00CE44BB">
        <w:rPr>
          <w:sz w:val="24"/>
        </w:rPr>
        <w:t xml:space="preserve">develop </w:t>
      </w:r>
      <w:r w:rsidR="00191233">
        <w:rPr>
          <w:sz w:val="24"/>
        </w:rPr>
        <w:t>our</w:t>
      </w:r>
      <w:r>
        <w:rPr>
          <w:sz w:val="24"/>
        </w:rPr>
        <w:t xml:space="preserve"> family-friendly policies that give both men and women the opportunity to work flexibly </w:t>
      </w:r>
      <w:r w:rsidR="00CE44BB">
        <w:rPr>
          <w:sz w:val="24"/>
        </w:rPr>
        <w:t xml:space="preserve">in order to maintain family and personal </w:t>
      </w:r>
      <w:proofErr w:type="gramStart"/>
      <w:r w:rsidR="00CE44BB">
        <w:rPr>
          <w:sz w:val="24"/>
        </w:rPr>
        <w:t>commitments</w:t>
      </w:r>
      <w:proofErr w:type="gramEnd"/>
    </w:p>
    <w:p w14:paraId="050FA681" w14:textId="4231D89F" w:rsidR="00CE44BB" w:rsidRDefault="00191233" w:rsidP="0080572E">
      <w:pPr>
        <w:pStyle w:val="ListParagraph"/>
        <w:numPr>
          <w:ilvl w:val="1"/>
          <w:numId w:val="1"/>
        </w:numPr>
        <w:tabs>
          <w:tab w:val="left" w:pos="1180"/>
          <w:tab w:val="left" w:pos="1181"/>
        </w:tabs>
        <w:spacing w:before="3" w:line="256" w:lineRule="auto"/>
        <w:ind w:right="275"/>
        <w:rPr>
          <w:sz w:val="24"/>
        </w:rPr>
      </w:pPr>
      <w:r>
        <w:rPr>
          <w:sz w:val="24"/>
        </w:rPr>
        <w:t xml:space="preserve">Consider gender issues in our workforce planning and succession planning </w:t>
      </w:r>
      <w:proofErr w:type="gramStart"/>
      <w:r>
        <w:rPr>
          <w:sz w:val="24"/>
        </w:rPr>
        <w:t>activities</w:t>
      </w:r>
      <w:proofErr w:type="gramEnd"/>
    </w:p>
    <w:p w14:paraId="7C5C9C29" w14:textId="1E7C3CE7" w:rsidR="00C9345B" w:rsidRDefault="00C9345B" w:rsidP="0080572E">
      <w:pPr>
        <w:pStyle w:val="ListParagraph"/>
        <w:numPr>
          <w:ilvl w:val="1"/>
          <w:numId w:val="1"/>
        </w:numPr>
        <w:tabs>
          <w:tab w:val="left" w:pos="1180"/>
          <w:tab w:val="left" w:pos="1181"/>
        </w:tabs>
        <w:spacing w:before="3" w:line="256" w:lineRule="auto"/>
        <w:ind w:right="275"/>
        <w:rPr>
          <w:sz w:val="24"/>
        </w:rPr>
      </w:pPr>
      <w:r>
        <w:rPr>
          <w:sz w:val="24"/>
        </w:rPr>
        <w:t xml:space="preserve">Strive to employ a workforce which is representative of the communities we </w:t>
      </w:r>
      <w:proofErr w:type="gramStart"/>
      <w:r>
        <w:rPr>
          <w:sz w:val="24"/>
        </w:rPr>
        <w:t>serve</w:t>
      </w:r>
      <w:proofErr w:type="gramEnd"/>
    </w:p>
    <w:p w14:paraId="6E740E7D" w14:textId="2BE9E751" w:rsidR="00C9345B" w:rsidRPr="0080572E" w:rsidRDefault="00C9345B" w:rsidP="0080572E">
      <w:pPr>
        <w:pStyle w:val="ListParagraph"/>
        <w:numPr>
          <w:ilvl w:val="1"/>
          <w:numId w:val="1"/>
        </w:numPr>
        <w:tabs>
          <w:tab w:val="left" w:pos="1180"/>
          <w:tab w:val="left" w:pos="1181"/>
        </w:tabs>
        <w:spacing w:before="3" w:line="256" w:lineRule="auto"/>
        <w:ind w:right="275"/>
        <w:rPr>
          <w:sz w:val="24"/>
        </w:rPr>
      </w:pPr>
      <w:r>
        <w:rPr>
          <w:sz w:val="24"/>
        </w:rPr>
        <w:t xml:space="preserve">Support employees with manageable health </w:t>
      </w:r>
      <w:r w:rsidR="00996E16">
        <w:rPr>
          <w:sz w:val="24"/>
        </w:rPr>
        <w:t>conditions to access work at all levels</w:t>
      </w:r>
    </w:p>
    <w:p w14:paraId="3EA47E50" w14:textId="4330E46C" w:rsidR="00E701E0" w:rsidRDefault="00E701E0" w:rsidP="00996E16">
      <w:pPr>
        <w:pStyle w:val="Heading1"/>
        <w:ind w:left="0"/>
      </w:pPr>
    </w:p>
    <w:sectPr w:rsidR="00E701E0">
      <w:pgSz w:w="11910" w:h="16840"/>
      <w:pgMar w:top="1340" w:right="10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91C87"/>
    <w:multiLevelType w:val="hybridMultilevel"/>
    <w:tmpl w:val="C9622A86"/>
    <w:lvl w:ilvl="0" w:tplc="D06C5046">
      <w:start w:val="1"/>
      <w:numFmt w:val="decimal"/>
      <w:lvlText w:val="%1."/>
      <w:lvlJc w:val="left"/>
      <w:pPr>
        <w:ind w:left="820" w:hanging="360"/>
        <w:jc w:val="left"/>
      </w:pPr>
      <w:rPr>
        <w:rFonts w:ascii="Arial" w:eastAsia="Arial" w:hAnsi="Arial" w:cs="Arial" w:hint="default"/>
        <w:b/>
        <w:bCs/>
        <w:spacing w:val="-1"/>
        <w:w w:val="100"/>
        <w:sz w:val="24"/>
        <w:szCs w:val="24"/>
      </w:rPr>
    </w:lvl>
    <w:lvl w:ilvl="1" w:tplc="803AAA5A">
      <w:numFmt w:val="bullet"/>
      <w:lvlText w:val=""/>
      <w:lvlJc w:val="left"/>
      <w:pPr>
        <w:ind w:left="1180" w:hanging="360"/>
      </w:pPr>
      <w:rPr>
        <w:rFonts w:ascii="Symbol" w:eastAsia="Symbol" w:hAnsi="Symbol" w:cs="Symbol" w:hint="default"/>
        <w:w w:val="100"/>
        <w:sz w:val="24"/>
        <w:szCs w:val="24"/>
      </w:rPr>
    </w:lvl>
    <w:lvl w:ilvl="2" w:tplc="F038175E">
      <w:numFmt w:val="bullet"/>
      <w:lvlText w:val="•"/>
      <w:lvlJc w:val="left"/>
      <w:pPr>
        <w:ind w:left="2151" w:hanging="360"/>
      </w:pPr>
      <w:rPr>
        <w:rFonts w:hint="default"/>
      </w:rPr>
    </w:lvl>
    <w:lvl w:ilvl="3" w:tplc="B928A7CC">
      <w:numFmt w:val="bullet"/>
      <w:lvlText w:val="•"/>
      <w:lvlJc w:val="left"/>
      <w:pPr>
        <w:ind w:left="3123" w:hanging="360"/>
      </w:pPr>
      <w:rPr>
        <w:rFonts w:hint="default"/>
      </w:rPr>
    </w:lvl>
    <w:lvl w:ilvl="4" w:tplc="E4FC2874">
      <w:numFmt w:val="bullet"/>
      <w:lvlText w:val="•"/>
      <w:lvlJc w:val="left"/>
      <w:pPr>
        <w:ind w:left="4095" w:hanging="360"/>
      </w:pPr>
      <w:rPr>
        <w:rFonts w:hint="default"/>
      </w:rPr>
    </w:lvl>
    <w:lvl w:ilvl="5" w:tplc="65500600">
      <w:numFmt w:val="bullet"/>
      <w:lvlText w:val="•"/>
      <w:lvlJc w:val="left"/>
      <w:pPr>
        <w:ind w:left="5067" w:hanging="360"/>
      </w:pPr>
      <w:rPr>
        <w:rFonts w:hint="default"/>
      </w:rPr>
    </w:lvl>
    <w:lvl w:ilvl="6" w:tplc="A38CB694">
      <w:numFmt w:val="bullet"/>
      <w:lvlText w:val="•"/>
      <w:lvlJc w:val="left"/>
      <w:pPr>
        <w:ind w:left="6039" w:hanging="360"/>
      </w:pPr>
      <w:rPr>
        <w:rFonts w:hint="default"/>
      </w:rPr>
    </w:lvl>
    <w:lvl w:ilvl="7" w:tplc="E48A3820">
      <w:numFmt w:val="bullet"/>
      <w:lvlText w:val="•"/>
      <w:lvlJc w:val="left"/>
      <w:pPr>
        <w:ind w:left="7010" w:hanging="360"/>
      </w:pPr>
      <w:rPr>
        <w:rFonts w:hint="default"/>
      </w:rPr>
    </w:lvl>
    <w:lvl w:ilvl="8" w:tplc="A98264F6">
      <w:numFmt w:val="bullet"/>
      <w:lvlText w:val="•"/>
      <w:lvlJc w:val="left"/>
      <w:pPr>
        <w:ind w:left="7982" w:hanging="360"/>
      </w:pPr>
      <w:rPr>
        <w:rFonts w:hint="default"/>
      </w:rPr>
    </w:lvl>
  </w:abstractNum>
  <w:num w:numId="1" w16cid:durableId="1520973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E0"/>
    <w:rsid w:val="00057750"/>
    <w:rsid w:val="0009652B"/>
    <w:rsid w:val="000C608D"/>
    <w:rsid w:val="00191233"/>
    <w:rsid w:val="00193668"/>
    <w:rsid w:val="001A7DC7"/>
    <w:rsid w:val="002031D7"/>
    <w:rsid w:val="002518A9"/>
    <w:rsid w:val="002A54A1"/>
    <w:rsid w:val="003037AA"/>
    <w:rsid w:val="00364068"/>
    <w:rsid w:val="003804D9"/>
    <w:rsid w:val="0038065F"/>
    <w:rsid w:val="003A0F93"/>
    <w:rsid w:val="003D2781"/>
    <w:rsid w:val="003D733B"/>
    <w:rsid w:val="003F663A"/>
    <w:rsid w:val="00467529"/>
    <w:rsid w:val="00477DE4"/>
    <w:rsid w:val="004B23B8"/>
    <w:rsid w:val="004D56FA"/>
    <w:rsid w:val="004F14F5"/>
    <w:rsid w:val="004F5A58"/>
    <w:rsid w:val="00547543"/>
    <w:rsid w:val="005B35C1"/>
    <w:rsid w:val="006638E4"/>
    <w:rsid w:val="006848A3"/>
    <w:rsid w:val="006929EB"/>
    <w:rsid w:val="00711BA4"/>
    <w:rsid w:val="00750A63"/>
    <w:rsid w:val="00760376"/>
    <w:rsid w:val="00762988"/>
    <w:rsid w:val="007731E9"/>
    <w:rsid w:val="00785EEF"/>
    <w:rsid w:val="00792F17"/>
    <w:rsid w:val="00794EC9"/>
    <w:rsid w:val="007A2575"/>
    <w:rsid w:val="007F352A"/>
    <w:rsid w:val="0080096C"/>
    <w:rsid w:val="008056AE"/>
    <w:rsid w:val="0080572E"/>
    <w:rsid w:val="008F2D87"/>
    <w:rsid w:val="0094266C"/>
    <w:rsid w:val="00947CDB"/>
    <w:rsid w:val="00996E16"/>
    <w:rsid w:val="009B16EF"/>
    <w:rsid w:val="009C19F3"/>
    <w:rsid w:val="00A7520B"/>
    <w:rsid w:val="00A817DB"/>
    <w:rsid w:val="00A95E29"/>
    <w:rsid w:val="00B324F5"/>
    <w:rsid w:val="00BC1C3A"/>
    <w:rsid w:val="00C02776"/>
    <w:rsid w:val="00C9345B"/>
    <w:rsid w:val="00CD68CE"/>
    <w:rsid w:val="00CE44BB"/>
    <w:rsid w:val="00CF6C89"/>
    <w:rsid w:val="00D00EE9"/>
    <w:rsid w:val="00D114D1"/>
    <w:rsid w:val="00D53564"/>
    <w:rsid w:val="00D61B30"/>
    <w:rsid w:val="00D67E96"/>
    <w:rsid w:val="00DC071E"/>
    <w:rsid w:val="00E0037E"/>
    <w:rsid w:val="00E21DE9"/>
    <w:rsid w:val="00E4463A"/>
    <w:rsid w:val="00E701E0"/>
    <w:rsid w:val="00E836ED"/>
    <w:rsid w:val="00F131EC"/>
    <w:rsid w:val="00F144BA"/>
    <w:rsid w:val="00F43814"/>
    <w:rsid w:val="00F946C4"/>
    <w:rsid w:val="00FA1E9D"/>
    <w:rsid w:val="00FA533F"/>
    <w:rsid w:val="00FC3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96C3"/>
  <w15:docId w15:val="{76B874FA-6FCA-4CEC-BA92-F4D8CA50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B35C1"/>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rPr>
      <w:rFonts w:ascii="Calibri" w:eastAsia="Calibri" w:hAnsi="Calibri" w:cs="Calibri"/>
    </w:rPr>
  </w:style>
  <w:style w:type="paragraph" w:styleId="Revision">
    <w:name w:val="Revision"/>
    <w:hidden/>
    <w:uiPriority w:val="99"/>
    <w:semiHidden/>
    <w:rsid w:val="00F131EC"/>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C02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77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03985">
      <w:bodyDiv w:val="1"/>
      <w:marLeft w:val="0"/>
      <w:marRight w:val="0"/>
      <w:marTop w:val="0"/>
      <w:marBottom w:val="0"/>
      <w:divBdr>
        <w:top w:val="none" w:sz="0" w:space="0" w:color="auto"/>
        <w:left w:val="none" w:sz="0" w:space="0" w:color="auto"/>
        <w:bottom w:val="none" w:sz="0" w:space="0" w:color="auto"/>
        <w:right w:val="none" w:sz="0" w:space="0" w:color="auto"/>
      </w:divBdr>
    </w:div>
    <w:div w:id="1048993748">
      <w:bodyDiv w:val="1"/>
      <w:marLeft w:val="0"/>
      <w:marRight w:val="0"/>
      <w:marTop w:val="0"/>
      <w:marBottom w:val="0"/>
      <w:divBdr>
        <w:top w:val="none" w:sz="0" w:space="0" w:color="auto"/>
        <w:left w:val="none" w:sz="0" w:space="0" w:color="auto"/>
        <w:bottom w:val="none" w:sz="0" w:space="0" w:color="auto"/>
        <w:right w:val="none" w:sz="0" w:space="0" w:color="auto"/>
      </w:divBdr>
    </w:div>
    <w:div w:id="2138208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C5FBE7369D14385866E6524CE94E7" ma:contentTypeVersion="14" ma:contentTypeDescription="Create a new document." ma:contentTypeScope="" ma:versionID="dacf13a991801490e0cccae330289edd">
  <xsd:schema xmlns:xsd="http://www.w3.org/2001/XMLSchema" xmlns:xs="http://www.w3.org/2001/XMLSchema" xmlns:p="http://schemas.microsoft.com/office/2006/metadata/properties" xmlns:ns3="18f456e1-b731-40af-93e6-4c95e48ae4d3" xmlns:ns4="bfceda73-eef9-4aaf-b015-dd85fbabd5c8" targetNamespace="http://schemas.microsoft.com/office/2006/metadata/properties" ma:root="true" ma:fieldsID="782214458bedb1a8bec9a1436ed8b2b6" ns3:_="" ns4:_="">
    <xsd:import namespace="18f456e1-b731-40af-93e6-4c95e48ae4d3"/>
    <xsd:import namespace="bfceda73-eef9-4aaf-b015-dd85fbabd5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456e1-b731-40af-93e6-4c95e48ae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ceda73-eef9-4aaf-b015-dd85fbabd5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5F58D-5E20-42EB-A814-A0A1E8FA5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456e1-b731-40af-93e6-4c95e48ae4d3"/>
    <ds:schemaRef ds:uri="bfceda73-eef9-4aaf-b015-dd85fbabd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DF9D2-49E5-42FB-9011-13911B600C1F}">
  <ds:schemaRefs>
    <ds:schemaRef ds:uri="http://schemas.microsoft.com/sharepoint/v3/contenttype/forms"/>
  </ds:schemaRefs>
</ds:datastoreItem>
</file>

<file path=customXml/itemProps3.xml><?xml version="1.0" encoding="utf-8"?>
<ds:datastoreItem xmlns:ds="http://schemas.openxmlformats.org/officeDocument/2006/customXml" ds:itemID="{5F94F4C1-7F77-4490-B8DB-04666E853D46}">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c2e0b76-d452-4d35-8392-187fac002efe}" enabled="0" method="" siteId="{4c2e0b76-d452-4d35-8392-187fac002efe}"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Item No</vt:lpstr>
    </vt:vector>
  </TitlesOfParts>
  <Company>City &amp; County of Swansea</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No</dc:title>
  <dc:creator>Samantha Jenkins</dc:creator>
  <cp:lastModifiedBy>Abigail Nicholson</cp:lastModifiedBy>
  <cp:revision>2</cp:revision>
  <dcterms:created xsi:type="dcterms:W3CDTF">2024-03-18T14:18:00Z</dcterms:created>
  <dcterms:modified xsi:type="dcterms:W3CDTF">2024-03-18T14:18:00Z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Microsoft® Word 2016</vt:lpwstr>
  </property>
  <property fmtid="{D5CDD505-2E9C-101B-9397-08002B2CF9AE}" pid="4" name="LastSaved">
    <vt:filetime>2022-03-08T00:00:00Z</vt:filetime>
  </property>
  <property fmtid="{D5CDD505-2E9C-101B-9397-08002B2CF9AE}" pid="5" name="ContentTypeId">
    <vt:lpwstr>0x010100305C5FBE7369D14385866E6524CE94E7</vt:lpwstr>
  </property>
</Properties>
</file>